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A243" w14:textId="77777777" w:rsidR="00DF72C4" w:rsidRDefault="00DF72C4" w:rsidP="00E236C8">
      <w:pPr>
        <w:pStyle w:val="BodyText"/>
      </w:pPr>
    </w:p>
    <w:p w14:paraId="37B1B75C" w14:textId="77777777" w:rsidR="004554C2" w:rsidRDefault="004554C2" w:rsidP="00E236C8">
      <w:pPr>
        <w:pStyle w:val="BodyText"/>
      </w:pPr>
    </w:p>
    <w:p w14:paraId="37D42827" w14:textId="77777777" w:rsidR="004554C2" w:rsidRDefault="0078525E" w:rsidP="00E236C8">
      <w:pPr>
        <w:pStyle w:val="BodyText"/>
      </w:pPr>
      <w:r>
        <w:rPr>
          <w:noProof/>
        </w:rPr>
        <w:drawing>
          <wp:anchor distT="0" distB="0" distL="114300" distR="114300" simplePos="0" relativeHeight="251658240" behindDoc="0" locked="0" layoutInCell="1" allowOverlap="1" wp14:anchorId="4E6096E8" wp14:editId="6A8A264F">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530F0"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0503600D" w14:textId="41A95FBD" w:rsidR="003B564E" w:rsidRPr="00A25189" w:rsidRDefault="00A25189" w:rsidP="00870DA3">
      <w:pPr>
        <w:pStyle w:val="BodyText"/>
        <w:ind w:firstLine="0"/>
        <w:jc w:val="center"/>
        <w:rPr>
          <w:i/>
          <w:color w:val="000000" w:themeColor="text1"/>
          <w:sz w:val="44"/>
          <w:szCs w:val="44"/>
        </w:rPr>
      </w:pPr>
      <w:r w:rsidRPr="00A25189">
        <w:rPr>
          <w:i/>
          <w:color w:val="000000" w:themeColor="text1"/>
          <w:sz w:val="36"/>
          <w:szCs w:val="44"/>
        </w:rPr>
        <w:t>Compact HPLC Instrument</w:t>
      </w:r>
      <w:r w:rsidR="004C11B8" w:rsidRPr="00A25189">
        <w:rPr>
          <w:i/>
          <w:color w:val="000000" w:themeColor="text1"/>
          <w:sz w:val="44"/>
          <w:szCs w:val="44"/>
        </w:rPr>
        <w:fldChar w:fldCharType="begin"/>
      </w:r>
      <w:r w:rsidR="004C11B8" w:rsidRPr="00A25189">
        <w:rPr>
          <w:i/>
          <w:color w:val="000000" w:themeColor="text1"/>
          <w:sz w:val="44"/>
          <w:szCs w:val="44"/>
        </w:rPr>
        <w:instrText xml:space="preserve"> ASK  ProjectName "Insert Project Name"  \* MERGEFORMAT </w:instrText>
      </w:r>
      <w:r w:rsidR="004C11B8" w:rsidRPr="00A25189">
        <w:rPr>
          <w:i/>
          <w:color w:val="000000" w:themeColor="text1"/>
          <w:sz w:val="44"/>
          <w:szCs w:val="44"/>
        </w:rPr>
        <w:fldChar w:fldCharType="separate"/>
      </w:r>
      <w:bookmarkStart w:id="0" w:name="ProjectName"/>
      <w:r w:rsidR="004C11B8" w:rsidRPr="00A25189">
        <w:rPr>
          <w:i/>
          <w:color w:val="000000" w:themeColor="text1"/>
          <w:sz w:val="44"/>
          <w:szCs w:val="44"/>
        </w:rPr>
        <w:t>Test</w:t>
      </w:r>
      <w:bookmarkEnd w:id="0"/>
      <w:r w:rsidR="004C11B8" w:rsidRPr="00A25189">
        <w:rPr>
          <w:i/>
          <w:color w:val="000000" w:themeColor="text1"/>
          <w:sz w:val="44"/>
          <w:szCs w:val="44"/>
        </w:rPr>
        <w:fldChar w:fldCharType="end"/>
      </w:r>
    </w:p>
    <w:p w14:paraId="6D8885AC" w14:textId="3DC9BDFC" w:rsidR="004554C2" w:rsidRPr="005B2898" w:rsidRDefault="008C522C" w:rsidP="00870DA3">
      <w:pPr>
        <w:pStyle w:val="BodyText"/>
        <w:ind w:firstLine="0"/>
        <w:jc w:val="center"/>
        <w:rPr>
          <w:sz w:val="32"/>
          <w:szCs w:val="32"/>
        </w:rPr>
      </w:pPr>
      <w:r>
        <w:rPr>
          <w:sz w:val="32"/>
          <w:szCs w:val="32"/>
        </w:rPr>
        <w:t>November</w:t>
      </w:r>
      <w:r w:rsidR="00A25189">
        <w:rPr>
          <w:sz w:val="32"/>
          <w:szCs w:val="32"/>
        </w:rPr>
        <w:t xml:space="preserve"> 4, 2019</w:t>
      </w:r>
    </w:p>
    <w:p w14:paraId="297D051B" w14:textId="77777777" w:rsidR="004554C2" w:rsidRPr="005B2898" w:rsidRDefault="004554C2">
      <w:pPr>
        <w:rPr>
          <w:sz w:val="32"/>
          <w:szCs w:val="32"/>
        </w:rPr>
      </w:pPr>
      <w:r w:rsidRPr="0017424B">
        <w:rPr>
          <w:i/>
          <w:sz w:val="32"/>
          <w:szCs w:val="32"/>
        </w:rPr>
        <w:br w:type="page"/>
      </w:r>
    </w:p>
    <w:p w14:paraId="3C39ACC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0BA5610D"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6288E9A4" w14:textId="77777777" w:rsidR="004554C2" w:rsidRDefault="004554C2" w:rsidP="001A2959">
          <w:pPr>
            <w:pStyle w:val="TOCHeading"/>
            <w:numPr>
              <w:ilvl w:val="0"/>
              <w:numId w:val="0"/>
            </w:numPr>
          </w:pPr>
          <w:r w:rsidRPr="004554C2">
            <w:t>Table of Contents</w:t>
          </w:r>
        </w:p>
        <w:p w14:paraId="39782214" w14:textId="77777777" w:rsidR="004554C2" w:rsidRPr="004554C2" w:rsidRDefault="004554C2" w:rsidP="004554C2">
          <w:pPr>
            <w:rPr>
              <w:lang w:eastAsia="ja-JP"/>
            </w:rPr>
          </w:pPr>
        </w:p>
        <w:p w14:paraId="50C02983" w14:textId="77777777" w:rsidR="00431E9B"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66624223" w:history="1">
            <w:r w:rsidR="00431E9B" w:rsidRPr="004D71EC">
              <w:rPr>
                <w:rStyle w:val="Hyperlink"/>
                <w:noProof/>
              </w:rPr>
              <w:t>1</w:t>
            </w:r>
            <w:r w:rsidR="00431E9B">
              <w:rPr>
                <w:rFonts w:asciiTheme="minorHAnsi" w:eastAsiaTheme="minorEastAsia" w:hAnsiTheme="minorHAnsi"/>
                <w:noProof/>
                <w:sz w:val="22"/>
                <w:szCs w:val="22"/>
              </w:rPr>
              <w:tab/>
            </w:r>
            <w:r w:rsidR="00431E9B" w:rsidRPr="004D71EC">
              <w:rPr>
                <w:rStyle w:val="Hyperlink"/>
                <w:noProof/>
              </w:rPr>
              <w:t>Introduction</w:t>
            </w:r>
            <w:r w:rsidR="00431E9B">
              <w:rPr>
                <w:noProof/>
                <w:webHidden/>
              </w:rPr>
              <w:tab/>
            </w:r>
            <w:r w:rsidR="00431E9B">
              <w:rPr>
                <w:noProof/>
                <w:webHidden/>
              </w:rPr>
              <w:fldChar w:fldCharType="begin"/>
            </w:r>
            <w:r w:rsidR="00431E9B">
              <w:rPr>
                <w:noProof/>
                <w:webHidden/>
              </w:rPr>
              <w:instrText xml:space="preserve"> PAGEREF _Toc466624223 \h </w:instrText>
            </w:r>
            <w:r w:rsidR="00431E9B">
              <w:rPr>
                <w:noProof/>
                <w:webHidden/>
              </w:rPr>
            </w:r>
            <w:r w:rsidR="00431E9B">
              <w:rPr>
                <w:noProof/>
                <w:webHidden/>
              </w:rPr>
              <w:fldChar w:fldCharType="separate"/>
            </w:r>
            <w:r w:rsidR="00431E9B">
              <w:rPr>
                <w:noProof/>
                <w:webHidden/>
              </w:rPr>
              <w:t>3</w:t>
            </w:r>
            <w:r w:rsidR="00431E9B">
              <w:rPr>
                <w:noProof/>
                <w:webHidden/>
              </w:rPr>
              <w:fldChar w:fldCharType="end"/>
            </w:r>
          </w:hyperlink>
        </w:p>
        <w:p w14:paraId="77057508" w14:textId="77777777" w:rsidR="00431E9B" w:rsidRDefault="00E42529">
          <w:pPr>
            <w:pStyle w:val="TOC2"/>
            <w:rPr>
              <w:rFonts w:asciiTheme="minorHAnsi" w:eastAsiaTheme="minorEastAsia" w:hAnsiTheme="minorHAnsi"/>
              <w:noProof/>
              <w:sz w:val="22"/>
              <w:szCs w:val="22"/>
            </w:rPr>
          </w:pPr>
          <w:hyperlink w:anchor="_Toc466624224" w:history="1">
            <w:r w:rsidR="00431E9B" w:rsidRPr="004D71EC">
              <w:rPr>
                <w:rStyle w:val="Hyperlink"/>
                <w:noProof/>
              </w:rPr>
              <w:t>1.1</w:t>
            </w:r>
            <w:r w:rsidR="00431E9B">
              <w:rPr>
                <w:rFonts w:asciiTheme="minorHAnsi" w:eastAsiaTheme="minorEastAsia" w:hAnsiTheme="minorHAnsi"/>
                <w:noProof/>
                <w:sz w:val="22"/>
                <w:szCs w:val="22"/>
              </w:rPr>
              <w:tab/>
            </w:r>
            <w:r w:rsidR="00431E9B" w:rsidRPr="004D71EC">
              <w:rPr>
                <w:rStyle w:val="Hyperlink"/>
                <w:noProof/>
              </w:rPr>
              <w:t>About Enabling Technologies Consortium™ (ETC)</w:t>
            </w:r>
            <w:r w:rsidR="00431E9B">
              <w:rPr>
                <w:noProof/>
                <w:webHidden/>
              </w:rPr>
              <w:tab/>
            </w:r>
            <w:r w:rsidR="00431E9B">
              <w:rPr>
                <w:noProof/>
                <w:webHidden/>
              </w:rPr>
              <w:fldChar w:fldCharType="begin"/>
            </w:r>
            <w:r w:rsidR="00431E9B">
              <w:rPr>
                <w:noProof/>
                <w:webHidden/>
              </w:rPr>
              <w:instrText xml:space="preserve"> PAGEREF _Toc466624224 \h </w:instrText>
            </w:r>
            <w:r w:rsidR="00431E9B">
              <w:rPr>
                <w:noProof/>
                <w:webHidden/>
              </w:rPr>
            </w:r>
            <w:r w:rsidR="00431E9B">
              <w:rPr>
                <w:noProof/>
                <w:webHidden/>
              </w:rPr>
              <w:fldChar w:fldCharType="separate"/>
            </w:r>
            <w:r w:rsidR="00431E9B">
              <w:rPr>
                <w:noProof/>
                <w:webHidden/>
              </w:rPr>
              <w:t>3</w:t>
            </w:r>
            <w:r w:rsidR="00431E9B">
              <w:rPr>
                <w:noProof/>
                <w:webHidden/>
              </w:rPr>
              <w:fldChar w:fldCharType="end"/>
            </w:r>
          </w:hyperlink>
        </w:p>
        <w:p w14:paraId="2767AA12" w14:textId="77777777" w:rsidR="00431E9B" w:rsidRDefault="00E42529">
          <w:pPr>
            <w:pStyle w:val="TOC2"/>
            <w:rPr>
              <w:rFonts w:asciiTheme="minorHAnsi" w:eastAsiaTheme="minorEastAsia" w:hAnsiTheme="minorHAnsi"/>
              <w:noProof/>
              <w:sz w:val="22"/>
              <w:szCs w:val="22"/>
            </w:rPr>
          </w:pPr>
          <w:hyperlink w:anchor="_Toc466624225" w:history="1">
            <w:r w:rsidR="00431E9B" w:rsidRPr="004D71EC">
              <w:rPr>
                <w:rStyle w:val="Hyperlink"/>
                <w:noProof/>
              </w:rPr>
              <w:t>1.2</w:t>
            </w:r>
            <w:r w:rsidR="00431E9B">
              <w:rPr>
                <w:rFonts w:asciiTheme="minorHAnsi" w:eastAsiaTheme="minorEastAsia" w:hAnsiTheme="minorHAnsi"/>
                <w:noProof/>
                <w:sz w:val="22"/>
                <w:szCs w:val="22"/>
              </w:rPr>
              <w:tab/>
            </w:r>
            <w:r w:rsidR="00431E9B" w:rsidRPr="004D71EC">
              <w:rPr>
                <w:rStyle w:val="Hyperlink"/>
                <w:noProof/>
              </w:rPr>
              <w:t>Request for Information</w:t>
            </w:r>
            <w:r w:rsidR="00431E9B">
              <w:rPr>
                <w:noProof/>
                <w:webHidden/>
              </w:rPr>
              <w:tab/>
            </w:r>
            <w:r w:rsidR="00431E9B">
              <w:rPr>
                <w:noProof/>
                <w:webHidden/>
              </w:rPr>
              <w:fldChar w:fldCharType="begin"/>
            </w:r>
            <w:r w:rsidR="00431E9B">
              <w:rPr>
                <w:noProof/>
                <w:webHidden/>
              </w:rPr>
              <w:instrText xml:space="preserve"> PAGEREF _Toc466624225 \h </w:instrText>
            </w:r>
            <w:r w:rsidR="00431E9B">
              <w:rPr>
                <w:noProof/>
                <w:webHidden/>
              </w:rPr>
            </w:r>
            <w:r w:rsidR="00431E9B">
              <w:rPr>
                <w:noProof/>
                <w:webHidden/>
              </w:rPr>
              <w:fldChar w:fldCharType="separate"/>
            </w:r>
            <w:r w:rsidR="00431E9B">
              <w:rPr>
                <w:noProof/>
                <w:webHidden/>
              </w:rPr>
              <w:t>3</w:t>
            </w:r>
            <w:r w:rsidR="00431E9B">
              <w:rPr>
                <w:noProof/>
                <w:webHidden/>
              </w:rPr>
              <w:fldChar w:fldCharType="end"/>
            </w:r>
          </w:hyperlink>
        </w:p>
        <w:p w14:paraId="4EF4393F" w14:textId="77777777" w:rsidR="00431E9B" w:rsidRDefault="00E42529">
          <w:pPr>
            <w:pStyle w:val="TOC2"/>
            <w:rPr>
              <w:rFonts w:asciiTheme="minorHAnsi" w:eastAsiaTheme="minorEastAsia" w:hAnsiTheme="minorHAnsi"/>
              <w:noProof/>
              <w:sz w:val="22"/>
              <w:szCs w:val="22"/>
            </w:rPr>
          </w:pPr>
          <w:hyperlink w:anchor="_Toc466624226" w:history="1">
            <w:r w:rsidR="00431E9B" w:rsidRPr="004D71EC">
              <w:rPr>
                <w:rStyle w:val="Hyperlink"/>
                <w:noProof/>
              </w:rPr>
              <w:t>1.3</w:t>
            </w:r>
            <w:r w:rsidR="00431E9B">
              <w:rPr>
                <w:rFonts w:asciiTheme="minorHAnsi" w:eastAsiaTheme="minorEastAsia" w:hAnsiTheme="minorHAnsi"/>
                <w:noProof/>
                <w:sz w:val="22"/>
                <w:szCs w:val="22"/>
              </w:rPr>
              <w:tab/>
            </w:r>
            <w:r w:rsidR="00431E9B" w:rsidRPr="004D71EC">
              <w:rPr>
                <w:rStyle w:val="Hyperlink"/>
                <w:noProof/>
              </w:rPr>
              <w:t>Disclaimer</w:t>
            </w:r>
            <w:r w:rsidR="00431E9B">
              <w:rPr>
                <w:noProof/>
                <w:webHidden/>
              </w:rPr>
              <w:tab/>
            </w:r>
            <w:r w:rsidR="00431E9B">
              <w:rPr>
                <w:noProof/>
                <w:webHidden/>
              </w:rPr>
              <w:fldChar w:fldCharType="begin"/>
            </w:r>
            <w:r w:rsidR="00431E9B">
              <w:rPr>
                <w:noProof/>
                <w:webHidden/>
              </w:rPr>
              <w:instrText xml:space="preserve"> PAGEREF _Toc466624226 \h </w:instrText>
            </w:r>
            <w:r w:rsidR="00431E9B">
              <w:rPr>
                <w:noProof/>
                <w:webHidden/>
              </w:rPr>
            </w:r>
            <w:r w:rsidR="00431E9B">
              <w:rPr>
                <w:noProof/>
                <w:webHidden/>
              </w:rPr>
              <w:fldChar w:fldCharType="separate"/>
            </w:r>
            <w:r w:rsidR="00431E9B">
              <w:rPr>
                <w:noProof/>
                <w:webHidden/>
              </w:rPr>
              <w:t>3</w:t>
            </w:r>
            <w:r w:rsidR="00431E9B">
              <w:rPr>
                <w:noProof/>
                <w:webHidden/>
              </w:rPr>
              <w:fldChar w:fldCharType="end"/>
            </w:r>
          </w:hyperlink>
        </w:p>
        <w:p w14:paraId="0A451562" w14:textId="77777777" w:rsidR="00431E9B" w:rsidRDefault="00E42529">
          <w:pPr>
            <w:pStyle w:val="TOC2"/>
            <w:rPr>
              <w:rFonts w:asciiTheme="minorHAnsi" w:eastAsiaTheme="minorEastAsia" w:hAnsiTheme="minorHAnsi"/>
              <w:noProof/>
              <w:sz w:val="22"/>
              <w:szCs w:val="22"/>
            </w:rPr>
          </w:pPr>
          <w:hyperlink w:anchor="_Toc466624227" w:history="1">
            <w:r w:rsidR="00431E9B" w:rsidRPr="004D71EC">
              <w:rPr>
                <w:rStyle w:val="Hyperlink"/>
                <w:noProof/>
              </w:rPr>
              <w:t>1.4</w:t>
            </w:r>
            <w:r w:rsidR="00431E9B">
              <w:rPr>
                <w:rFonts w:asciiTheme="minorHAnsi" w:eastAsiaTheme="minorEastAsia" w:hAnsiTheme="minorHAnsi"/>
                <w:noProof/>
                <w:sz w:val="22"/>
                <w:szCs w:val="22"/>
              </w:rPr>
              <w:tab/>
            </w:r>
            <w:r w:rsidR="00431E9B" w:rsidRPr="004D71EC">
              <w:rPr>
                <w:rStyle w:val="Hyperlink"/>
                <w:noProof/>
              </w:rPr>
              <w:t>RFI Contact Information</w:t>
            </w:r>
            <w:r w:rsidR="00431E9B">
              <w:rPr>
                <w:noProof/>
                <w:webHidden/>
              </w:rPr>
              <w:tab/>
            </w:r>
            <w:r w:rsidR="00431E9B">
              <w:rPr>
                <w:noProof/>
                <w:webHidden/>
              </w:rPr>
              <w:fldChar w:fldCharType="begin"/>
            </w:r>
            <w:r w:rsidR="00431E9B">
              <w:rPr>
                <w:noProof/>
                <w:webHidden/>
              </w:rPr>
              <w:instrText xml:space="preserve"> PAGEREF _Toc466624227 \h </w:instrText>
            </w:r>
            <w:r w:rsidR="00431E9B">
              <w:rPr>
                <w:noProof/>
                <w:webHidden/>
              </w:rPr>
            </w:r>
            <w:r w:rsidR="00431E9B">
              <w:rPr>
                <w:noProof/>
                <w:webHidden/>
              </w:rPr>
              <w:fldChar w:fldCharType="separate"/>
            </w:r>
            <w:r w:rsidR="00431E9B">
              <w:rPr>
                <w:noProof/>
                <w:webHidden/>
              </w:rPr>
              <w:t>4</w:t>
            </w:r>
            <w:r w:rsidR="00431E9B">
              <w:rPr>
                <w:noProof/>
                <w:webHidden/>
              </w:rPr>
              <w:fldChar w:fldCharType="end"/>
            </w:r>
          </w:hyperlink>
        </w:p>
        <w:p w14:paraId="17520EDF" w14:textId="77777777" w:rsidR="00431E9B" w:rsidRDefault="00E42529">
          <w:pPr>
            <w:pStyle w:val="TOC2"/>
            <w:rPr>
              <w:rFonts w:asciiTheme="minorHAnsi" w:eastAsiaTheme="minorEastAsia" w:hAnsiTheme="minorHAnsi"/>
              <w:noProof/>
              <w:sz w:val="22"/>
              <w:szCs w:val="22"/>
            </w:rPr>
          </w:pPr>
          <w:hyperlink w:anchor="_Toc466624228" w:history="1">
            <w:r w:rsidR="00431E9B" w:rsidRPr="004D71EC">
              <w:rPr>
                <w:rStyle w:val="Hyperlink"/>
                <w:noProof/>
              </w:rPr>
              <w:t>1.5</w:t>
            </w:r>
            <w:r w:rsidR="00431E9B">
              <w:rPr>
                <w:rFonts w:asciiTheme="minorHAnsi" w:eastAsiaTheme="minorEastAsia" w:hAnsiTheme="minorHAnsi"/>
                <w:noProof/>
                <w:sz w:val="22"/>
                <w:szCs w:val="22"/>
              </w:rPr>
              <w:tab/>
            </w:r>
            <w:r w:rsidR="00431E9B" w:rsidRPr="004D71EC">
              <w:rPr>
                <w:rStyle w:val="Hyperlink"/>
                <w:noProof/>
              </w:rPr>
              <w:t>Anticipated Time Frames for Evaluation and Selection Process</w:t>
            </w:r>
            <w:r w:rsidR="00431E9B">
              <w:rPr>
                <w:noProof/>
                <w:webHidden/>
              </w:rPr>
              <w:tab/>
            </w:r>
            <w:r w:rsidR="00431E9B">
              <w:rPr>
                <w:noProof/>
                <w:webHidden/>
              </w:rPr>
              <w:fldChar w:fldCharType="begin"/>
            </w:r>
            <w:r w:rsidR="00431E9B">
              <w:rPr>
                <w:noProof/>
                <w:webHidden/>
              </w:rPr>
              <w:instrText xml:space="preserve"> PAGEREF _Toc466624228 \h </w:instrText>
            </w:r>
            <w:r w:rsidR="00431E9B">
              <w:rPr>
                <w:noProof/>
                <w:webHidden/>
              </w:rPr>
            </w:r>
            <w:r w:rsidR="00431E9B">
              <w:rPr>
                <w:noProof/>
                <w:webHidden/>
              </w:rPr>
              <w:fldChar w:fldCharType="separate"/>
            </w:r>
            <w:r w:rsidR="00431E9B">
              <w:rPr>
                <w:noProof/>
                <w:webHidden/>
              </w:rPr>
              <w:t>4</w:t>
            </w:r>
            <w:r w:rsidR="00431E9B">
              <w:rPr>
                <w:noProof/>
                <w:webHidden/>
              </w:rPr>
              <w:fldChar w:fldCharType="end"/>
            </w:r>
          </w:hyperlink>
        </w:p>
        <w:p w14:paraId="42113251" w14:textId="77777777" w:rsidR="00431E9B" w:rsidRDefault="00E42529">
          <w:pPr>
            <w:pStyle w:val="TOC1"/>
            <w:tabs>
              <w:tab w:val="left" w:pos="480"/>
              <w:tab w:val="right" w:leader="dot" w:pos="9350"/>
            </w:tabs>
            <w:rPr>
              <w:rFonts w:asciiTheme="minorHAnsi" w:eastAsiaTheme="minorEastAsia" w:hAnsiTheme="minorHAnsi"/>
              <w:noProof/>
              <w:sz w:val="22"/>
              <w:szCs w:val="22"/>
            </w:rPr>
          </w:pPr>
          <w:hyperlink w:anchor="_Toc466624229" w:history="1">
            <w:r w:rsidR="00431E9B" w:rsidRPr="004D71EC">
              <w:rPr>
                <w:rStyle w:val="Hyperlink"/>
                <w:noProof/>
              </w:rPr>
              <w:t>2</w:t>
            </w:r>
            <w:r w:rsidR="00431E9B">
              <w:rPr>
                <w:rFonts w:asciiTheme="minorHAnsi" w:eastAsiaTheme="minorEastAsia" w:hAnsiTheme="minorHAnsi"/>
                <w:noProof/>
                <w:sz w:val="22"/>
                <w:szCs w:val="22"/>
              </w:rPr>
              <w:tab/>
            </w:r>
            <w:r w:rsidR="00431E9B" w:rsidRPr="004D71EC">
              <w:rPr>
                <w:rStyle w:val="Hyperlink"/>
                <w:noProof/>
              </w:rPr>
              <w:t>Project Information</w:t>
            </w:r>
            <w:r w:rsidR="00431E9B">
              <w:rPr>
                <w:noProof/>
                <w:webHidden/>
              </w:rPr>
              <w:tab/>
            </w:r>
            <w:r w:rsidR="00431E9B">
              <w:rPr>
                <w:noProof/>
                <w:webHidden/>
              </w:rPr>
              <w:fldChar w:fldCharType="begin"/>
            </w:r>
            <w:r w:rsidR="00431E9B">
              <w:rPr>
                <w:noProof/>
                <w:webHidden/>
              </w:rPr>
              <w:instrText xml:space="preserve"> PAGEREF _Toc466624229 \h </w:instrText>
            </w:r>
            <w:r w:rsidR="00431E9B">
              <w:rPr>
                <w:noProof/>
                <w:webHidden/>
              </w:rPr>
            </w:r>
            <w:r w:rsidR="00431E9B">
              <w:rPr>
                <w:noProof/>
                <w:webHidden/>
              </w:rPr>
              <w:fldChar w:fldCharType="separate"/>
            </w:r>
            <w:r w:rsidR="00431E9B">
              <w:rPr>
                <w:noProof/>
                <w:webHidden/>
              </w:rPr>
              <w:t>4</w:t>
            </w:r>
            <w:r w:rsidR="00431E9B">
              <w:rPr>
                <w:noProof/>
                <w:webHidden/>
              </w:rPr>
              <w:fldChar w:fldCharType="end"/>
            </w:r>
          </w:hyperlink>
        </w:p>
        <w:p w14:paraId="28C414D6" w14:textId="77777777" w:rsidR="00431E9B" w:rsidRDefault="00E42529">
          <w:pPr>
            <w:pStyle w:val="TOC2"/>
            <w:rPr>
              <w:rFonts w:asciiTheme="minorHAnsi" w:eastAsiaTheme="minorEastAsia" w:hAnsiTheme="minorHAnsi"/>
              <w:noProof/>
              <w:sz w:val="22"/>
              <w:szCs w:val="22"/>
            </w:rPr>
          </w:pPr>
          <w:hyperlink w:anchor="_Toc466624230" w:history="1">
            <w:r w:rsidR="00431E9B" w:rsidRPr="004D71EC">
              <w:rPr>
                <w:rStyle w:val="Hyperlink"/>
                <w:noProof/>
              </w:rPr>
              <w:t>2.1</w:t>
            </w:r>
            <w:r w:rsidR="00431E9B">
              <w:rPr>
                <w:rFonts w:asciiTheme="minorHAnsi" w:eastAsiaTheme="minorEastAsia" w:hAnsiTheme="minorHAnsi"/>
                <w:noProof/>
                <w:sz w:val="22"/>
                <w:szCs w:val="22"/>
              </w:rPr>
              <w:tab/>
            </w:r>
            <w:r w:rsidR="00431E9B" w:rsidRPr="004D71EC">
              <w:rPr>
                <w:rStyle w:val="Hyperlink"/>
                <w:noProof/>
              </w:rPr>
              <w:t>Possible Project Sponsors</w:t>
            </w:r>
            <w:r w:rsidR="00431E9B">
              <w:rPr>
                <w:noProof/>
                <w:webHidden/>
              </w:rPr>
              <w:tab/>
            </w:r>
            <w:r w:rsidR="00431E9B">
              <w:rPr>
                <w:noProof/>
                <w:webHidden/>
              </w:rPr>
              <w:fldChar w:fldCharType="begin"/>
            </w:r>
            <w:r w:rsidR="00431E9B">
              <w:rPr>
                <w:noProof/>
                <w:webHidden/>
              </w:rPr>
              <w:instrText xml:space="preserve"> PAGEREF _Toc466624230 \h </w:instrText>
            </w:r>
            <w:r w:rsidR="00431E9B">
              <w:rPr>
                <w:noProof/>
                <w:webHidden/>
              </w:rPr>
            </w:r>
            <w:r w:rsidR="00431E9B">
              <w:rPr>
                <w:noProof/>
                <w:webHidden/>
              </w:rPr>
              <w:fldChar w:fldCharType="separate"/>
            </w:r>
            <w:r w:rsidR="00431E9B">
              <w:rPr>
                <w:noProof/>
                <w:webHidden/>
              </w:rPr>
              <w:t>4</w:t>
            </w:r>
            <w:r w:rsidR="00431E9B">
              <w:rPr>
                <w:noProof/>
                <w:webHidden/>
              </w:rPr>
              <w:fldChar w:fldCharType="end"/>
            </w:r>
          </w:hyperlink>
        </w:p>
        <w:p w14:paraId="05600D31" w14:textId="2329D895" w:rsidR="00431E9B" w:rsidRDefault="00E42529">
          <w:pPr>
            <w:pStyle w:val="TOC2"/>
            <w:rPr>
              <w:rFonts w:asciiTheme="minorHAnsi" w:eastAsiaTheme="minorEastAsia" w:hAnsiTheme="minorHAnsi"/>
              <w:noProof/>
              <w:sz w:val="22"/>
              <w:szCs w:val="22"/>
            </w:rPr>
          </w:pPr>
          <w:hyperlink w:anchor="_Toc466624231" w:history="1">
            <w:r w:rsidR="00431E9B" w:rsidRPr="004D71EC">
              <w:rPr>
                <w:rStyle w:val="Hyperlink"/>
                <w:noProof/>
              </w:rPr>
              <w:t>2.2</w:t>
            </w:r>
            <w:r w:rsidR="00431E9B">
              <w:rPr>
                <w:rFonts w:asciiTheme="minorHAnsi" w:eastAsiaTheme="minorEastAsia" w:hAnsiTheme="minorHAnsi"/>
                <w:noProof/>
                <w:sz w:val="22"/>
                <w:szCs w:val="22"/>
              </w:rPr>
              <w:tab/>
            </w:r>
            <w:r w:rsidR="00431E9B" w:rsidRPr="004D71EC">
              <w:rPr>
                <w:rStyle w:val="Hyperlink"/>
                <w:noProof/>
              </w:rPr>
              <w:t>Description</w:t>
            </w:r>
            <w:r w:rsidR="00431E9B">
              <w:rPr>
                <w:noProof/>
                <w:webHidden/>
              </w:rPr>
              <w:tab/>
            </w:r>
            <w:r w:rsidR="00954D8B">
              <w:rPr>
                <w:noProof/>
                <w:webHidden/>
              </w:rPr>
              <w:t>5</w:t>
            </w:r>
          </w:hyperlink>
        </w:p>
        <w:p w14:paraId="50E6D429" w14:textId="33749DD6" w:rsidR="00431E9B" w:rsidRDefault="00E42529">
          <w:pPr>
            <w:pStyle w:val="TOC2"/>
            <w:rPr>
              <w:rFonts w:asciiTheme="minorHAnsi" w:eastAsiaTheme="minorEastAsia" w:hAnsiTheme="minorHAnsi"/>
              <w:noProof/>
              <w:sz w:val="22"/>
              <w:szCs w:val="22"/>
            </w:rPr>
          </w:pPr>
          <w:hyperlink w:anchor="_Toc466624232" w:history="1">
            <w:r w:rsidR="00431E9B" w:rsidRPr="004D71EC">
              <w:rPr>
                <w:rStyle w:val="Hyperlink"/>
                <w:noProof/>
              </w:rPr>
              <w:t>2.3</w:t>
            </w:r>
            <w:r w:rsidR="00431E9B">
              <w:rPr>
                <w:rFonts w:asciiTheme="minorHAnsi" w:eastAsiaTheme="minorEastAsia" w:hAnsiTheme="minorHAnsi"/>
                <w:noProof/>
                <w:sz w:val="22"/>
                <w:szCs w:val="22"/>
              </w:rPr>
              <w:tab/>
            </w:r>
            <w:r w:rsidR="00A25189">
              <w:rPr>
                <w:rStyle w:val="Hyperlink"/>
                <w:noProof/>
              </w:rPr>
              <w:t>Compact HPLC Instrument</w:t>
            </w:r>
            <w:r w:rsidR="00431E9B" w:rsidRPr="004D71EC">
              <w:rPr>
                <w:rStyle w:val="Hyperlink"/>
                <w:noProof/>
              </w:rPr>
              <w:t xml:space="preserve"> Requirements</w:t>
            </w:r>
            <w:r w:rsidR="00431E9B">
              <w:rPr>
                <w:noProof/>
                <w:webHidden/>
              </w:rPr>
              <w:tab/>
            </w:r>
            <w:r w:rsidR="00FD0713">
              <w:rPr>
                <w:noProof/>
                <w:webHidden/>
              </w:rPr>
              <w:t>6</w:t>
            </w:r>
          </w:hyperlink>
        </w:p>
        <w:p w14:paraId="42660E0C" w14:textId="43F8FA75" w:rsidR="00431E9B" w:rsidRDefault="00E42529">
          <w:pPr>
            <w:pStyle w:val="TOC3"/>
            <w:tabs>
              <w:tab w:val="left" w:pos="1320"/>
              <w:tab w:val="right" w:leader="dot" w:pos="9350"/>
            </w:tabs>
            <w:rPr>
              <w:rFonts w:asciiTheme="minorHAnsi" w:eastAsiaTheme="minorEastAsia" w:hAnsiTheme="minorHAnsi"/>
              <w:noProof/>
              <w:sz w:val="22"/>
              <w:szCs w:val="22"/>
            </w:rPr>
          </w:pPr>
          <w:hyperlink w:anchor="_Toc466624233" w:history="1">
            <w:r w:rsidR="00431E9B" w:rsidRPr="004D71EC">
              <w:rPr>
                <w:rStyle w:val="Hyperlink"/>
                <w:noProof/>
              </w:rPr>
              <w:t>2.3.1</w:t>
            </w:r>
            <w:r w:rsidR="00431E9B">
              <w:rPr>
                <w:rFonts w:asciiTheme="minorHAnsi" w:eastAsiaTheme="minorEastAsia" w:hAnsiTheme="minorHAnsi"/>
                <w:noProof/>
                <w:sz w:val="22"/>
                <w:szCs w:val="22"/>
              </w:rPr>
              <w:tab/>
            </w:r>
            <w:r w:rsidR="00431E9B" w:rsidRPr="004D71EC">
              <w:rPr>
                <w:rStyle w:val="Hyperlink"/>
                <w:noProof/>
              </w:rPr>
              <w:t>Necessary Hardware and Software Requirements</w:t>
            </w:r>
            <w:r w:rsidR="00431E9B">
              <w:rPr>
                <w:noProof/>
                <w:webHidden/>
              </w:rPr>
              <w:tab/>
            </w:r>
            <w:r w:rsidR="00FD0713">
              <w:rPr>
                <w:noProof/>
                <w:webHidden/>
              </w:rPr>
              <w:t>6</w:t>
            </w:r>
          </w:hyperlink>
        </w:p>
        <w:p w14:paraId="6035C470" w14:textId="41FE2675" w:rsidR="00431E9B" w:rsidRDefault="00E42529">
          <w:pPr>
            <w:pStyle w:val="TOC3"/>
            <w:tabs>
              <w:tab w:val="left" w:pos="1320"/>
              <w:tab w:val="right" w:leader="dot" w:pos="9350"/>
            </w:tabs>
            <w:rPr>
              <w:rFonts w:asciiTheme="minorHAnsi" w:eastAsiaTheme="minorEastAsia" w:hAnsiTheme="minorHAnsi"/>
              <w:noProof/>
              <w:sz w:val="22"/>
              <w:szCs w:val="22"/>
            </w:rPr>
          </w:pPr>
          <w:hyperlink w:anchor="_Toc466624234" w:history="1">
            <w:r w:rsidR="00431E9B" w:rsidRPr="004D71EC">
              <w:rPr>
                <w:rStyle w:val="Hyperlink"/>
                <w:noProof/>
              </w:rPr>
              <w:t>2.3.2</w:t>
            </w:r>
            <w:r w:rsidR="00431E9B">
              <w:rPr>
                <w:rFonts w:asciiTheme="minorHAnsi" w:eastAsiaTheme="minorEastAsia" w:hAnsiTheme="minorHAnsi"/>
                <w:noProof/>
                <w:sz w:val="22"/>
                <w:szCs w:val="22"/>
              </w:rPr>
              <w:tab/>
            </w:r>
            <w:r w:rsidR="00431E9B" w:rsidRPr="004D71EC">
              <w:rPr>
                <w:rStyle w:val="Hyperlink"/>
                <w:noProof/>
              </w:rPr>
              <w:t>Optional Hardware and Software Requirements</w:t>
            </w:r>
            <w:r w:rsidR="00431E9B">
              <w:rPr>
                <w:noProof/>
                <w:webHidden/>
              </w:rPr>
              <w:tab/>
            </w:r>
            <w:r w:rsidR="000F35AB">
              <w:rPr>
                <w:noProof/>
                <w:webHidden/>
              </w:rPr>
              <w:t>7</w:t>
            </w:r>
          </w:hyperlink>
        </w:p>
        <w:p w14:paraId="09BDF3FA" w14:textId="46D0348B" w:rsidR="00431E9B" w:rsidRDefault="00E42529">
          <w:pPr>
            <w:pStyle w:val="TOC3"/>
            <w:tabs>
              <w:tab w:val="left" w:pos="1320"/>
              <w:tab w:val="right" w:leader="dot" w:pos="9350"/>
            </w:tabs>
            <w:rPr>
              <w:rFonts w:asciiTheme="minorHAnsi" w:eastAsiaTheme="minorEastAsia" w:hAnsiTheme="minorHAnsi"/>
              <w:noProof/>
              <w:sz w:val="22"/>
              <w:szCs w:val="22"/>
            </w:rPr>
          </w:pPr>
          <w:hyperlink w:anchor="_Toc466624235" w:history="1">
            <w:r w:rsidR="00431E9B" w:rsidRPr="004D71EC">
              <w:rPr>
                <w:rStyle w:val="Hyperlink"/>
                <w:noProof/>
              </w:rPr>
              <w:t>2.3.3</w:t>
            </w:r>
            <w:r w:rsidR="00431E9B">
              <w:rPr>
                <w:rFonts w:asciiTheme="minorHAnsi" w:eastAsiaTheme="minorEastAsia" w:hAnsiTheme="minorHAnsi"/>
                <w:noProof/>
                <w:sz w:val="22"/>
                <w:szCs w:val="22"/>
              </w:rPr>
              <w:tab/>
            </w:r>
            <w:r w:rsidR="00431E9B" w:rsidRPr="004D71EC">
              <w:rPr>
                <w:rStyle w:val="Hyperlink"/>
                <w:noProof/>
              </w:rPr>
              <w:t>Availability Requirements</w:t>
            </w:r>
            <w:r w:rsidR="00431E9B">
              <w:rPr>
                <w:noProof/>
                <w:webHidden/>
              </w:rPr>
              <w:tab/>
            </w:r>
            <w:r w:rsidR="000F35AB">
              <w:rPr>
                <w:noProof/>
                <w:webHidden/>
              </w:rPr>
              <w:t>7</w:t>
            </w:r>
          </w:hyperlink>
        </w:p>
        <w:p w14:paraId="574577E3" w14:textId="10FB6AF2" w:rsidR="00431E9B" w:rsidRDefault="00E42529">
          <w:pPr>
            <w:pStyle w:val="TOC3"/>
            <w:tabs>
              <w:tab w:val="left" w:pos="1320"/>
              <w:tab w:val="right" w:leader="dot" w:pos="9350"/>
            </w:tabs>
            <w:rPr>
              <w:rFonts w:asciiTheme="minorHAnsi" w:eastAsiaTheme="minorEastAsia" w:hAnsiTheme="minorHAnsi"/>
              <w:noProof/>
              <w:sz w:val="22"/>
              <w:szCs w:val="22"/>
            </w:rPr>
          </w:pPr>
          <w:hyperlink w:anchor="_Toc466624236" w:history="1">
            <w:r w:rsidR="00431E9B" w:rsidRPr="004D71EC">
              <w:rPr>
                <w:rStyle w:val="Hyperlink"/>
                <w:noProof/>
              </w:rPr>
              <w:t>2.3.4</w:t>
            </w:r>
            <w:r w:rsidR="00431E9B">
              <w:rPr>
                <w:rFonts w:asciiTheme="minorHAnsi" w:eastAsiaTheme="minorEastAsia" w:hAnsiTheme="minorHAnsi"/>
                <w:noProof/>
                <w:sz w:val="22"/>
                <w:szCs w:val="22"/>
              </w:rPr>
              <w:tab/>
            </w:r>
            <w:r w:rsidR="00431E9B" w:rsidRPr="004D71EC">
              <w:rPr>
                <w:rStyle w:val="Hyperlink"/>
                <w:noProof/>
              </w:rPr>
              <w:t>Licensing Requirements for Commercialized Product</w:t>
            </w:r>
            <w:r w:rsidR="00431E9B">
              <w:rPr>
                <w:noProof/>
                <w:webHidden/>
              </w:rPr>
              <w:tab/>
            </w:r>
            <w:r w:rsidR="000F35AB">
              <w:rPr>
                <w:noProof/>
                <w:webHidden/>
              </w:rPr>
              <w:t>7</w:t>
            </w:r>
          </w:hyperlink>
        </w:p>
        <w:p w14:paraId="1F1536E7" w14:textId="4918246C" w:rsidR="00431E9B" w:rsidRDefault="00E42529">
          <w:pPr>
            <w:pStyle w:val="TOC1"/>
            <w:tabs>
              <w:tab w:val="left" w:pos="480"/>
              <w:tab w:val="right" w:leader="dot" w:pos="9350"/>
            </w:tabs>
            <w:rPr>
              <w:rFonts w:asciiTheme="minorHAnsi" w:eastAsiaTheme="minorEastAsia" w:hAnsiTheme="minorHAnsi"/>
              <w:noProof/>
              <w:sz w:val="22"/>
              <w:szCs w:val="22"/>
            </w:rPr>
          </w:pPr>
          <w:hyperlink w:anchor="_Toc466624237" w:history="1">
            <w:r w:rsidR="00431E9B" w:rsidRPr="004D71EC">
              <w:rPr>
                <w:rStyle w:val="Hyperlink"/>
                <w:noProof/>
              </w:rPr>
              <w:t>3</w:t>
            </w:r>
            <w:r w:rsidR="00431E9B">
              <w:rPr>
                <w:rFonts w:asciiTheme="minorHAnsi" w:eastAsiaTheme="minorEastAsia" w:hAnsiTheme="minorHAnsi"/>
                <w:noProof/>
                <w:sz w:val="22"/>
                <w:szCs w:val="22"/>
              </w:rPr>
              <w:tab/>
            </w:r>
            <w:r w:rsidR="00431E9B" w:rsidRPr="004D71EC">
              <w:rPr>
                <w:rStyle w:val="Hyperlink"/>
                <w:noProof/>
              </w:rPr>
              <w:t>Criteria for Evaluation</w:t>
            </w:r>
            <w:r w:rsidR="00431E9B">
              <w:rPr>
                <w:noProof/>
                <w:webHidden/>
              </w:rPr>
              <w:tab/>
            </w:r>
            <w:r w:rsidR="000F35AB">
              <w:rPr>
                <w:noProof/>
                <w:webHidden/>
              </w:rPr>
              <w:t>8</w:t>
            </w:r>
          </w:hyperlink>
        </w:p>
        <w:p w14:paraId="0BE803ED" w14:textId="57744852" w:rsidR="00431E9B" w:rsidRDefault="00E42529">
          <w:pPr>
            <w:pStyle w:val="TOC1"/>
            <w:tabs>
              <w:tab w:val="left" w:pos="480"/>
              <w:tab w:val="right" w:leader="dot" w:pos="9350"/>
            </w:tabs>
            <w:rPr>
              <w:rFonts w:asciiTheme="minorHAnsi" w:eastAsiaTheme="minorEastAsia" w:hAnsiTheme="minorHAnsi"/>
              <w:noProof/>
              <w:sz w:val="22"/>
              <w:szCs w:val="22"/>
            </w:rPr>
          </w:pPr>
          <w:hyperlink w:anchor="_Toc466624238" w:history="1">
            <w:r w:rsidR="00431E9B" w:rsidRPr="004D71EC">
              <w:rPr>
                <w:rStyle w:val="Hyperlink"/>
                <w:noProof/>
              </w:rPr>
              <w:t>4</w:t>
            </w:r>
            <w:r w:rsidR="00431E9B">
              <w:rPr>
                <w:rFonts w:asciiTheme="minorHAnsi" w:eastAsiaTheme="minorEastAsia" w:hAnsiTheme="minorHAnsi"/>
                <w:noProof/>
                <w:sz w:val="22"/>
                <w:szCs w:val="22"/>
              </w:rPr>
              <w:tab/>
            </w:r>
            <w:r w:rsidR="00431E9B" w:rsidRPr="004D71EC">
              <w:rPr>
                <w:rStyle w:val="Hyperlink"/>
                <w:noProof/>
              </w:rPr>
              <w:t>Respondent Profile (to be completed by RFI respondent)</w:t>
            </w:r>
            <w:r w:rsidR="00431E9B">
              <w:rPr>
                <w:noProof/>
                <w:webHidden/>
              </w:rPr>
              <w:tab/>
            </w:r>
            <w:r w:rsidR="000F35AB">
              <w:rPr>
                <w:noProof/>
                <w:webHidden/>
              </w:rPr>
              <w:t>8</w:t>
            </w:r>
          </w:hyperlink>
        </w:p>
        <w:p w14:paraId="5EEB63ED" w14:textId="6D9EE69C" w:rsidR="00431E9B" w:rsidRDefault="00E42529">
          <w:pPr>
            <w:pStyle w:val="TOC2"/>
            <w:rPr>
              <w:rFonts w:asciiTheme="minorHAnsi" w:eastAsiaTheme="minorEastAsia" w:hAnsiTheme="minorHAnsi"/>
              <w:noProof/>
              <w:sz w:val="22"/>
              <w:szCs w:val="22"/>
            </w:rPr>
          </w:pPr>
          <w:hyperlink w:anchor="_Toc466624239" w:history="1">
            <w:r w:rsidR="00431E9B" w:rsidRPr="004D71EC">
              <w:rPr>
                <w:rStyle w:val="Hyperlink"/>
                <w:noProof/>
              </w:rPr>
              <w:t>4.1</w:t>
            </w:r>
            <w:r w:rsidR="00431E9B">
              <w:rPr>
                <w:rFonts w:asciiTheme="minorHAnsi" w:eastAsiaTheme="minorEastAsia" w:hAnsiTheme="minorHAnsi"/>
                <w:noProof/>
                <w:sz w:val="22"/>
                <w:szCs w:val="22"/>
              </w:rPr>
              <w:tab/>
            </w:r>
            <w:r w:rsidR="00431E9B" w:rsidRPr="004D71EC">
              <w:rPr>
                <w:rStyle w:val="Hyperlink"/>
                <w:noProof/>
              </w:rPr>
              <w:t>Company/Organization Information</w:t>
            </w:r>
            <w:r w:rsidR="00431E9B">
              <w:rPr>
                <w:noProof/>
                <w:webHidden/>
              </w:rPr>
              <w:tab/>
            </w:r>
            <w:r w:rsidR="000F35AB">
              <w:rPr>
                <w:noProof/>
                <w:webHidden/>
              </w:rPr>
              <w:t>8</w:t>
            </w:r>
          </w:hyperlink>
        </w:p>
        <w:p w14:paraId="07656A38" w14:textId="572D909B" w:rsidR="00431E9B" w:rsidRDefault="00E42529">
          <w:pPr>
            <w:pStyle w:val="TOC2"/>
            <w:rPr>
              <w:rFonts w:asciiTheme="minorHAnsi" w:eastAsiaTheme="minorEastAsia" w:hAnsiTheme="minorHAnsi"/>
              <w:noProof/>
              <w:sz w:val="22"/>
              <w:szCs w:val="22"/>
            </w:rPr>
          </w:pPr>
          <w:hyperlink w:anchor="_Toc466624240" w:history="1">
            <w:r w:rsidR="00431E9B" w:rsidRPr="004D71EC">
              <w:rPr>
                <w:rStyle w:val="Hyperlink"/>
                <w:noProof/>
              </w:rPr>
              <w:t>4.2</w:t>
            </w:r>
            <w:r w:rsidR="00431E9B">
              <w:rPr>
                <w:rFonts w:asciiTheme="minorHAnsi" w:eastAsiaTheme="minorEastAsia" w:hAnsiTheme="minorHAnsi"/>
                <w:noProof/>
                <w:sz w:val="22"/>
                <w:szCs w:val="22"/>
              </w:rPr>
              <w:tab/>
            </w:r>
            <w:r w:rsidR="00431E9B" w:rsidRPr="004D71EC">
              <w:rPr>
                <w:rStyle w:val="Hyperlink"/>
                <w:noProof/>
              </w:rPr>
              <w:t>Primary Contact Person</w:t>
            </w:r>
            <w:r w:rsidR="00431E9B">
              <w:rPr>
                <w:noProof/>
                <w:webHidden/>
              </w:rPr>
              <w:tab/>
            </w:r>
            <w:r w:rsidR="000F35AB">
              <w:rPr>
                <w:noProof/>
                <w:webHidden/>
              </w:rPr>
              <w:t>8</w:t>
            </w:r>
          </w:hyperlink>
        </w:p>
        <w:p w14:paraId="58A8A821" w14:textId="570E050E" w:rsidR="00431E9B" w:rsidRDefault="00E42529">
          <w:pPr>
            <w:pStyle w:val="TOC2"/>
            <w:rPr>
              <w:rFonts w:asciiTheme="minorHAnsi" w:eastAsiaTheme="minorEastAsia" w:hAnsiTheme="minorHAnsi"/>
              <w:noProof/>
              <w:sz w:val="22"/>
              <w:szCs w:val="22"/>
            </w:rPr>
          </w:pPr>
          <w:hyperlink w:anchor="_Toc466624241" w:history="1">
            <w:r w:rsidR="00431E9B" w:rsidRPr="004D71EC">
              <w:rPr>
                <w:rStyle w:val="Hyperlink"/>
                <w:noProof/>
              </w:rPr>
              <w:t>4.3</w:t>
            </w:r>
            <w:r w:rsidR="00431E9B">
              <w:rPr>
                <w:rFonts w:asciiTheme="minorHAnsi" w:eastAsiaTheme="minorEastAsia" w:hAnsiTheme="minorHAnsi"/>
                <w:noProof/>
                <w:sz w:val="22"/>
                <w:szCs w:val="22"/>
              </w:rPr>
              <w:tab/>
            </w:r>
            <w:r w:rsidR="00431E9B" w:rsidRPr="004D71EC">
              <w:rPr>
                <w:rStyle w:val="Hyperlink"/>
                <w:noProof/>
              </w:rPr>
              <w:t>Company/Organization Overview</w:t>
            </w:r>
            <w:r w:rsidR="00431E9B">
              <w:rPr>
                <w:noProof/>
                <w:webHidden/>
              </w:rPr>
              <w:tab/>
            </w:r>
            <w:r w:rsidR="000F35AB">
              <w:rPr>
                <w:noProof/>
                <w:webHidden/>
              </w:rPr>
              <w:t>9</w:t>
            </w:r>
          </w:hyperlink>
        </w:p>
        <w:p w14:paraId="5946E642" w14:textId="17C6FB0E" w:rsidR="00431E9B" w:rsidRDefault="00E42529">
          <w:pPr>
            <w:pStyle w:val="TOC2"/>
            <w:rPr>
              <w:rFonts w:asciiTheme="minorHAnsi" w:eastAsiaTheme="minorEastAsia" w:hAnsiTheme="minorHAnsi"/>
              <w:noProof/>
              <w:sz w:val="22"/>
              <w:szCs w:val="22"/>
            </w:rPr>
          </w:pPr>
          <w:hyperlink w:anchor="_Toc466624242" w:history="1">
            <w:r w:rsidR="00431E9B" w:rsidRPr="004D71EC">
              <w:rPr>
                <w:rStyle w:val="Hyperlink"/>
                <w:noProof/>
              </w:rPr>
              <w:t>4.4</w:t>
            </w:r>
            <w:r w:rsidR="00431E9B">
              <w:rPr>
                <w:rFonts w:asciiTheme="minorHAnsi" w:eastAsiaTheme="minorEastAsia" w:hAnsiTheme="minorHAnsi"/>
                <w:noProof/>
                <w:sz w:val="22"/>
                <w:szCs w:val="22"/>
              </w:rPr>
              <w:tab/>
            </w:r>
            <w:r w:rsidR="00431E9B" w:rsidRPr="004D71EC">
              <w:rPr>
                <w:rStyle w:val="Hyperlink"/>
                <w:noProof/>
              </w:rPr>
              <w:t>Parent Corporation and/or Subsidiaries</w:t>
            </w:r>
            <w:r w:rsidR="00431E9B">
              <w:rPr>
                <w:noProof/>
                <w:webHidden/>
              </w:rPr>
              <w:tab/>
            </w:r>
            <w:r w:rsidR="000F35AB">
              <w:rPr>
                <w:noProof/>
                <w:webHidden/>
              </w:rPr>
              <w:t>9</w:t>
            </w:r>
          </w:hyperlink>
        </w:p>
        <w:p w14:paraId="0FFC5DE0" w14:textId="7AE42301" w:rsidR="00431E9B" w:rsidRDefault="00E42529">
          <w:pPr>
            <w:pStyle w:val="TOC2"/>
            <w:rPr>
              <w:rFonts w:asciiTheme="minorHAnsi" w:eastAsiaTheme="minorEastAsia" w:hAnsiTheme="minorHAnsi"/>
              <w:noProof/>
              <w:sz w:val="22"/>
              <w:szCs w:val="22"/>
            </w:rPr>
          </w:pPr>
          <w:hyperlink w:anchor="_Toc466624243" w:history="1">
            <w:r w:rsidR="00431E9B" w:rsidRPr="004D71EC">
              <w:rPr>
                <w:rStyle w:val="Hyperlink"/>
                <w:noProof/>
              </w:rPr>
              <w:t>4.5</w:t>
            </w:r>
            <w:r w:rsidR="00431E9B">
              <w:rPr>
                <w:rFonts w:asciiTheme="minorHAnsi" w:eastAsiaTheme="minorEastAsia" w:hAnsiTheme="minorHAnsi"/>
                <w:noProof/>
                <w:sz w:val="22"/>
                <w:szCs w:val="22"/>
              </w:rPr>
              <w:tab/>
            </w:r>
            <w:r w:rsidR="00431E9B" w:rsidRPr="004D71EC">
              <w:rPr>
                <w:rStyle w:val="Hyperlink"/>
                <w:noProof/>
              </w:rPr>
              <w:t>Summary of Expertise</w:t>
            </w:r>
            <w:r w:rsidR="00431E9B">
              <w:rPr>
                <w:noProof/>
                <w:webHidden/>
              </w:rPr>
              <w:tab/>
            </w:r>
            <w:r w:rsidR="000F35AB">
              <w:rPr>
                <w:noProof/>
                <w:webHidden/>
              </w:rPr>
              <w:t>9</w:t>
            </w:r>
          </w:hyperlink>
        </w:p>
        <w:p w14:paraId="5FAA236E" w14:textId="6AD73198" w:rsidR="00431E9B" w:rsidRDefault="00E42529">
          <w:pPr>
            <w:pStyle w:val="TOC2"/>
            <w:rPr>
              <w:rFonts w:asciiTheme="minorHAnsi" w:eastAsiaTheme="minorEastAsia" w:hAnsiTheme="minorHAnsi"/>
              <w:noProof/>
              <w:sz w:val="22"/>
              <w:szCs w:val="22"/>
            </w:rPr>
          </w:pPr>
          <w:hyperlink w:anchor="_Toc466624244" w:history="1">
            <w:r w:rsidR="00431E9B" w:rsidRPr="004D71EC">
              <w:rPr>
                <w:rStyle w:val="Hyperlink"/>
                <w:noProof/>
              </w:rPr>
              <w:t>4.6</w:t>
            </w:r>
            <w:r w:rsidR="00431E9B">
              <w:rPr>
                <w:rFonts w:asciiTheme="minorHAnsi" w:eastAsiaTheme="minorEastAsia" w:hAnsiTheme="minorHAnsi"/>
                <w:noProof/>
                <w:sz w:val="22"/>
                <w:szCs w:val="22"/>
              </w:rPr>
              <w:tab/>
            </w:r>
            <w:r w:rsidR="00431E9B" w:rsidRPr="004D71EC">
              <w:rPr>
                <w:rStyle w:val="Hyperlink"/>
                <w:noProof/>
              </w:rPr>
              <w:t>Standards Certifications</w:t>
            </w:r>
            <w:r w:rsidR="00431E9B">
              <w:rPr>
                <w:noProof/>
                <w:webHidden/>
              </w:rPr>
              <w:tab/>
            </w:r>
            <w:r w:rsidR="000F35AB">
              <w:rPr>
                <w:noProof/>
                <w:webHidden/>
              </w:rPr>
              <w:t>9</w:t>
            </w:r>
          </w:hyperlink>
        </w:p>
        <w:p w14:paraId="1D1E10A0" w14:textId="0C5BAE86" w:rsidR="00431E9B" w:rsidRDefault="00E42529">
          <w:pPr>
            <w:pStyle w:val="TOC2"/>
            <w:rPr>
              <w:rFonts w:asciiTheme="minorHAnsi" w:eastAsiaTheme="minorEastAsia" w:hAnsiTheme="minorHAnsi"/>
              <w:noProof/>
              <w:sz w:val="22"/>
              <w:szCs w:val="22"/>
            </w:rPr>
          </w:pPr>
          <w:hyperlink w:anchor="_Toc466624245" w:history="1">
            <w:r w:rsidR="00431E9B" w:rsidRPr="004D71EC">
              <w:rPr>
                <w:rStyle w:val="Hyperlink"/>
                <w:noProof/>
              </w:rPr>
              <w:t>4.7</w:t>
            </w:r>
            <w:r w:rsidR="00431E9B">
              <w:rPr>
                <w:rFonts w:asciiTheme="minorHAnsi" w:eastAsiaTheme="minorEastAsia" w:hAnsiTheme="minorHAnsi"/>
                <w:noProof/>
                <w:sz w:val="22"/>
                <w:szCs w:val="22"/>
              </w:rPr>
              <w:tab/>
            </w:r>
            <w:r w:rsidR="00431E9B" w:rsidRPr="004D71EC">
              <w:rPr>
                <w:rStyle w:val="Hyperlink"/>
                <w:noProof/>
              </w:rPr>
              <w:t>Goals and Strategic Vision</w:t>
            </w:r>
            <w:r w:rsidR="00431E9B">
              <w:rPr>
                <w:noProof/>
                <w:webHidden/>
              </w:rPr>
              <w:tab/>
            </w:r>
            <w:r w:rsidR="000F35AB">
              <w:rPr>
                <w:noProof/>
                <w:webHidden/>
              </w:rPr>
              <w:t>10</w:t>
            </w:r>
          </w:hyperlink>
        </w:p>
        <w:p w14:paraId="25707F8D" w14:textId="22755ECF" w:rsidR="00431E9B" w:rsidRDefault="00E42529">
          <w:pPr>
            <w:pStyle w:val="TOC2"/>
            <w:rPr>
              <w:rFonts w:asciiTheme="minorHAnsi" w:eastAsiaTheme="minorEastAsia" w:hAnsiTheme="minorHAnsi"/>
              <w:noProof/>
              <w:sz w:val="22"/>
              <w:szCs w:val="22"/>
            </w:rPr>
          </w:pPr>
          <w:hyperlink w:anchor="_Toc466624246" w:history="1">
            <w:r w:rsidR="00431E9B" w:rsidRPr="004D71EC">
              <w:rPr>
                <w:rStyle w:val="Hyperlink"/>
                <w:noProof/>
              </w:rPr>
              <w:t>4.8</w:t>
            </w:r>
            <w:r w:rsidR="00431E9B">
              <w:rPr>
                <w:rFonts w:asciiTheme="minorHAnsi" w:eastAsiaTheme="minorEastAsia" w:hAnsiTheme="minorHAnsi"/>
                <w:noProof/>
                <w:sz w:val="22"/>
                <w:szCs w:val="22"/>
              </w:rPr>
              <w:tab/>
            </w:r>
            <w:r w:rsidR="00431E9B" w:rsidRPr="004D71EC">
              <w:rPr>
                <w:rStyle w:val="Hyperlink"/>
                <w:noProof/>
              </w:rPr>
              <w:t>Miscellaneous</w:t>
            </w:r>
            <w:r w:rsidR="00431E9B">
              <w:rPr>
                <w:noProof/>
                <w:webHidden/>
              </w:rPr>
              <w:tab/>
            </w:r>
            <w:r w:rsidR="000F35AB">
              <w:rPr>
                <w:noProof/>
                <w:webHidden/>
              </w:rPr>
              <w:t>10</w:t>
            </w:r>
          </w:hyperlink>
        </w:p>
        <w:p w14:paraId="67DA0B41" w14:textId="4A0E3D55" w:rsidR="00431E9B" w:rsidRDefault="00E42529">
          <w:pPr>
            <w:pStyle w:val="TOC1"/>
            <w:tabs>
              <w:tab w:val="left" w:pos="480"/>
              <w:tab w:val="right" w:leader="dot" w:pos="9350"/>
            </w:tabs>
            <w:rPr>
              <w:rFonts w:asciiTheme="minorHAnsi" w:eastAsiaTheme="minorEastAsia" w:hAnsiTheme="minorHAnsi"/>
              <w:noProof/>
              <w:sz w:val="22"/>
              <w:szCs w:val="22"/>
            </w:rPr>
          </w:pPr>
          <w:hyperlink w:anchor="_Toc466624247" w:history="1">
            <w:r w:rsidR="00431E9B" w:rsidRPr="004D71EC">
              <w:rPr>
                <w:rStyle w:val="Hyperlink"/>
                <w:noProof/>
              </w:rPr>
              <w:t>5</w:t>
            </w:r>
            <w:r w:rsidR="00431E9B">
              <w:rPr>
                <w:rFonts w:asciiTheme="minorHAnsi" w:eastAsiaTheme="minorEastAsia" w:hAnsiTheme="minorHAnsi"/>
                <w:noProof/>
                <w:sz w:val="22"/>
                <w:szCs w:val="22"/>
              </w:rPr>
              <w:tab/>
            </w:r>
            <w:r w:rsidR="00431E9B" w:rsidRPr="004D71EC">
              <w:rPr>
                <w:rStyle w:val="Hyperlink"/>
                <w:noProof/>
              </w:rPr>
              <w:t>Company/Organization Response to RFI (</w:t>
            </w:r>
            <w:r w:rsidR="00431E9B" w:rsidRPr="004D71EC">
              <w:rPr>
                <w:rStyle w:val="Hyperlink"/>
                <w:i/>
                <w:noProof/>
              </w:rPr>
              <w:t>to be completed by RFI respondent)</w:t>
            </w:r>
            <w:r w:rsidR="00431E9B">
              <w:rPr>
                <w:noProof/>
                <w:webHidden/>
              </w:rPr>
              <w:tab/>
            </w:r>
            <w:r w:rsidR="000F35AB">
              <w:rPr>
                <w:noProof/>
                <w:webHidden/>
              </w:rPr>
              <w:t>11</w:t>
            </w:r>
          </w:hyperlink>
        </w:p>
        <w:p w14:paraId="32EE9DF2" w14:textId="1A38575A" w:rsidR="00431E9B" w:rsidRDefault="00E42529">
          <w:pPr>
            <w:pStyle w:val="TOC2"/>
            <w:rPr>
              <w:rFonts w:asciiTheme="minorHAnsi" w:eastAsiaTheme="minorEastAsia" w:hAnsiTheme="minorHAnsi"/>
              <w:noProof/>
              <w:sz w:val="22"/>
              <w:szCs w:val="22"/>
            </w:rPr>
          </w:pPr>
          <w:hyperlink w:anchor="_Toc466624248" w:history="1">
            <w:r w:rsidR="00431E9B" w:rsidRPr="004D71EC">
              <w:rPr>
                <w:rStyle w:val="Hyperlink"/>
                <w:noProof/>
              </w:rPr>
              <w:t>5.1</w:t>
            </w:r>
            <w:r w:rsidR="00431E9B">
              <w:rPr>
                <w:rFonts w:asciiTheme="minorHAnsi" w:eastAsiaTheme="minorEastAsia" w:hAnsiTheme="minorHAnsi"/>
                <w:noProof/>
                <w:sz w:val="22"/>
                <w:szCs w:val="22"/>
              </w:rPr>
              <w:tab/>
            </w:r>
            <w:r w:rsidR="00431E9B" w:rsidRPr="004D71EC">
              <w:rPr>
                <w:rStyle w:val="Hyperlink"/>
                <w:noProof/>
              </w:rPr>
              <w:t>Proposal</w:t>
            </w:r>
            <w:r w:rsidR="00431E9B">
              <w:rPr>
                <w:noProof/>
                <w:webHidden/>
              </w:rPr>
              <w:tab/>
            </w:r>
            <w:r w:rsidR="000F35AB">
              <w:rPr>
                <w:noProof/>
                <w:webHidden/>
              </w:rPr>
              <w:t>11</w:t>
            </w:r>
          </w:hyperlink>
        </w:p>
        <w:p w14:paraId="072E24E2" w14:textId="20B82A47" w:rsidR="00431E9B" w:rsidRDefault="00E42529">
          <w:pPr>
            <w:pStyle w:val="TOC2"/>
            <w:rPr>
              <w:rFonts w:asciiTheme="minorHAnsi" w:eastAsiaTheme="minorEastAsia" w:hAnsiTheme="minorHAnsi"/>
              <w:noProof/>
              <w:sz w:val="22"/>
              <w:szCs w:val="22"/>
            </w:rPr>
          </w:pPr>
          <w:hyperlink w:anchor="_Toc466624249" w:history="1">
            <w:r w:rsidR="00431E9B" w:rsidRPr="004D71EC">
              <w:rPr>
                <w:rStyle w:val="Hyperlink"/>
                <w:noProof/>
              </w:rPr>
              <w:t>5.2</w:t>
            </w:r>
            <w:r w:rsidR="00431E9B">
              <w:rPr>
                <w:rFonts w:asciiTheme="minorHAnsi" w:eastAsiaTheme="minorEastAsia" w:hAnsiTheme="minorHAnsi"/>
                <w:noProof/>
                <w:sz w:val="22"/>
                <w:szCs w:val="22"/>
              </w:rPr>
              <w:tab/>
            </w:r>
            <w:r w:rsidR="00431E9B" w:rsidRPr="004D71EC">
              <w:rPr>
                <w:rStyle w:val="Hyperlink"/>
                <w:noProof/>
              </w:rPr>
              <w:t>Functional Requirements &amp; Specifications</w:t>
            </w:r>
            <w:r w:rsidR="00431E9B">
              <w:rPr>
                <w:noProof/>
                <w:webHidden/>
              </w:rPr>
              <w:tab/>
            </w:r>
            <w:r w:rsidR="000F35AB">
              <w:rPr>
                <w:noProof/>
                <w:webHidden/>
              </w:rPr>
              <w:t>11</w:t>
            </w:r>
          </w:hyperlink>
        </w:p>
        <w:p w14:paraId="1049AF06" w14:textId="6A5E17F9" w:rsidR="00431E9B" w:rsidRDefault="00E42529">
          <w:pPr>
            <w:pStyle w:val="TOC2"/>
            <w:rPr>
              <w:rFonts w:asciiTheme="minorHAnsi" w:eastAsiaTheme="minorEastAsia" w:hAnsiTheme="minorHAnsi"/>
              <w:noProof/>
              <w:sz w:val="22"/>
              <w:szCs w:val="22"/>
            </w:rPr>
          </w:pPr>
          <w:hyperlink w:anchor="_Toc466624250" w:history="1">
            <w:r w:rsidR="00431E9B" w:rsidRPr="004D71EC">
              <w:rPr>
                <w:rStyle w:val="Hyperlink"/>
                <w:noProof/>
              </w:rPr>
              <w:t>5.3</w:t>
            </w:r>
            <w:r w:rsidR="00431E9B">
              <w:rPr>
                <w:rFonts w:asciiTheme="minorHAnsi" w:eastAsiaTheme="minorEastAsia" w:hAnsiTheme="minorHAnsi"/>
                <w:noProof/>
                <w:sz w:val="22"/>
                <w:szCs w:val="22"/>
              </w:rPr>
              <w:tab/>
            </w:r>
            <w:r w:rsidR="00431E9B" w:rsidRPr="004D71EC">
              <w:rPr>
                <w:rStyle w:val="Hyperlink"/>
                <w:noProof/>
              </w:rPr>
              <w:t>Estimated Timeline</w:t>
            </w:r>
            <w:r w:rsidR="00431E9B">
              <w:rPr>
                <w:noProof/>
                <w:webHidden/>
              </w:rPr>
              <w:tab/>
            </w:r>
            <w:r w:rsidR="00431E9B">
              <w:rPr>
                <w:noProof/>
                <w:webHidden/>
              </w:rPr>
              <w:fldChar w:fldCharType="begin"/>
            </w:r>
            <w:r w:rsidR="00431E9B">
              <w:rPr>
                <w:noProof/>
                <w:webHidden/>
              </w:rPr>
              <w:instrText xml:space="preserve"> PAGEREF _Toc466624250 \h </w:instrText>
            </w:r>
            <w:r w:rsidR="00431E9B">
              <w:rPr>
                <w:noProof/>
                <w:webHidden/>
              </w:rPr>
            </w:r>
            <w:r w:rsidR="00431E9B">
              <w:rPr>
                <w:noProof/>
                <w:webHidden/>
              </w:rPr>
              <w:fldChar w:fldCharType="separate"/>
            </w:r>
            <w:r w:rsidR="00431E9B">
              <w:rPr>
                <w:noProof/>
                <w:webHidden/>
              </w:rPr>
              <w:t>1</w:t>
            </w:r>
            <w:r w:rsidR="000F35AB">
              <w:rPr>
                <w:noProof/>
                <w:webHidden/>
              </w:rPr>
              <w:t>2</w:t>
            </w:r>
            <w:r w:rsidR="00431E9B">
              <w:rPr>
                <w:noProof/>
                <w:webHidden/>
              </w:rPr>
              <w:fldChar w:fldCharType="end"/>
            </w:r>
          </w:hyperlink>
        </w:p>
        <w:p w14:paraId="75CC2024" w14:textId="15FA9D29" w:rsidR="00431E9B" w:rsidRDefault="00E42529">
          <w:pPr>
            <w:pStyle w:val="TOC2"/>
            <w:rPr>
              <w:rFonts w:asciiTheme="minorHAnsi" w:eastAsiaTheme="minorEastAsia" w:hAnsiTheme="minorHAnsi"/>
              <w:noProof/>
              <w:sz w:val="22"/>
              <w:szCs w:val="22"/>
            </w:rPr>
          </w:pPr>
          <w:hyperlink w:anchor="_Toc466624251" w:history="1">
            <w:r w:rsidR="00431E9B" w:rsidRPr="004D71EC">
              <w:rPr>
                <w:rStyle w:val="Hyperlink"/>
                <w:noProof/>
              </w:rPr>
              <w:t>5.4</w:t>
            </w:r>
            <w:r w:rsidR="00431E9B">
              <w:rPr>
                <w:rFonts w:asciiTheme="minorHAnsi" w:eastAsiaTheme="minorEastAsia" w:hAnsiTheme="minorHAnsi"/>
                <w:noProof/>
                <w:sz w:val="22"/>
                <w:szCs w:val="22"/>
              </w:rPr>
              <w:tab/>
            </w:r>
            <w:r w:rsidR="00431E9B" w:rsidRPr="004D71EC">
              <w:rPr>
                <w:rStyle w:val="Hyperlink"/>
                <w:noProof/>
              </w:rPr>
              <w:t>Estimated Project Cost</w:t>
            </w:r>
            <w:r w:rsidR="00431E9B">
              <w:rPr>
                <w:noProof/>
                <w:webHidden/>
              </w:rPr>
              <w:tab/>
            </w:r>
            <w:r w:rsidR="00431E9B">
              <w:rPr>
                <w:noProof/>
                <w:webHidden/>
              </w:rPr>
              <w:fldChar w:fldCharType="begin"/>
            </w:r>
            <w:r w:rsidR="00431E9B">
              <w:rPr>
                <w:noProof/>
                <w:webHidden/>
              </w:rPr>
              <w:instrText xml:space="preserve"> PAGEREF _Toc466624251 \h </w:instrText>
            </w:r>
            <w:r w:rsidR="00431E9B">
              <w:rPr>
                <w:noProof/>
                <w:webHidden/>
              </w:rPr>
            </w:r>
            <w:r w:rsidR="00431E9B">
              <w:rPr>
                <w:noProof/>
                <w:webHidden/>
              </w:rPr>
              <w:fldChar w:fldCharType="separate"/>
            </w:r>
            <w:r w:rsidR="00431E9B">
              <w:rPr>
                <w:noProof/>
                <w:webHidden/>
              </w:rPr>
              <w:t>1</w:t>
            </w:r>
            <w:r w:rsidR="000F35AB">
              <w:rPr>
                <w:noProof/>
                <w:webHidden/>
              </w:rPr>
              <w:t>2</w:t>
            </w:r>
            <w:r w:rsidR="00431E9B">
              <w:rPr>
                <w:noProof/>
                <w:webHidden/>
              </w:rPr>
              <w:fldChar w:fldCharType="end"/>
            </w:r>
          </w:hyperlink>
        </w:p>
        <w:p w14:paraId="32F9F04D" w14:textId="77777777" w:rsidR="00E8659C" w:rsidRDefault="004554C2" w:rsidP="00220B57">
          <w:pPr>
            <w:rPr>
              <w:noProof/>
            </w:rPr>
          </w:pPr>
          <w:r w:rsidRPr="0017424B">
            <w:rPr>
              <w:b/>
              <w:bCs/>
              <w:noProof/>
            </w:rPr>
            <w:fldChar w:fldCharType="end"/>
          </w:r>
        </w:p>
      </w:sdtContent>
    </w:sdt>
    <w:p w14:paraId="3984911D" w14:textId="77777777" w:rsidR="00220B57" w:rsidRDefault="00220B57">
      <w:pPr>
        <w:rPr>
          <w:rFonts w:eastAsiaTheme="majorEastAsia" w:cstheme="majorBidi"/>
          <w:b/>
          <w:bCs/>
          <w:color w:val="365F91" w:themeColor="accent1" w:themeShade="BF"/>
          <w:sz w:val="28"/>
          <w:szCs w:val="28"/>
        </w:rPr>
      </w:pPr>
      <w:r>
        <w:br w:type="page"/>
      </w:r>
    </w:p>
    <w:p w14:paraId="2DBFE8E4" w14:textId="77777777" w:rsidR="004554C2" w:rsidRPr="0030651A" w:rsidRDefault="003F73F1" w:rsidP="001A2959">
      <w:pPr>
        <w:pStyle w:val="Heading1"/>
      </w:pPr>
      <w:bookmarkStart w:id="1" w:name="_Toc466624223"/>
      <w:r w:rsidRPr="001A2959">
        <w:lastRenderedPageBreak/>
        <w:t>Introduction</w:t>
      </w:r>
      <w:bookmarkEnd w:id="1"/>
    </w:p>
    <w:p w14:paraId="36564720" w14:textId="77777777" w:rsidR="007F54BE" w:rsidRPr="0030651A" w:rsidRDefault="007F54BE" w:rsidP="00612F49">
      <w:pPr>
        <w:pStyle w:val="Heading2"/>
      </w:pPr>
      <w:bookmarkStart w:id="2" w:name="_Toc466624224"/>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14:paraId="26F3575D"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606B623A" w14:textId="77777777" w:rsidR="007F54BE" w:rsidRPr="005B2898" w:rsidRDefault="007F54BE" w:rsidP="00612F49">
      <w:pPr>
        <w:pStyle w:val="Heading2"/>
      </w:pPr>
      <w:bookmarkStart w:id="3" w:name="_Toc466624225"/>
      <w:r w:rsidRPr="005B2898">
        <w:t xml:space="preserve">Request </w:t>
      </w:r>
      <w:r w:rsidR="00F401F8" w:rsidRPr="005B2898">
        <w:t>for</w:t>
      </w:r>
      <w:r w:rsidRPr="005B2898">
        <w:t xml:space="preserve"> Information</w:t>
      </w:r>
      <w:bookmarkEnd w:id="3"/>
    </w:p>
    <w:p w14:paraId="12A423F0" w14:textId="2DA461E7" w:rsidR="0088317A" w:rsidRDefault="00313FF7" w:rsidP="00EF6AA7">
      <w:pPr>
        <w:jc w:val="both"/>
      </w:pPr>
      <w:r>
        <w:t>Publication of this</w:t>
      </w:r>
      <w:r w:rsidR="0017424B">
        <w:t xml:space="preserve"> Request for </w:t>
      </w:r>
      <w:r>
        <w:t>Information (RFI)</w:t>
      </w:r>
      <w:r w:rsidR="0017424B">
        <w:t xml:space="preserve"> is </w:t>
      </w:r>
      <w:r>
        <w:t xml:space="preserve">the first step by </w:t>
      </w:r>
      <w:r w:rsidR="0019669C">
        <w:t>ETC</w:t>
      </w:r>
      <w:r>
        <w:t xml:space="preserve"> to solicit interest in collaborating </w:t>
      </w:r>
      <w:r w:rsidR="00CA78B9">
        <w:t>together on</w:t>
      </w:r>
      <w:r>
        <w:t xml:space="preserve"> </w:t>
      </w:r>
      <w:r w:rsidR="00C20EAA">
        <w:t xml:space="preserve">a </w:t>
      </w:r>
      <w:r w:rsidR="00A25189" w:rsidRPr="00A25189">
        <w:rPr>
          <w:color w:val="000000" w:themeColor="text1"/>
        </w:rPr>
        <w:t>compact complete HPLC instrument</w:t>
      </w:r>
      <w:r w:rsidR="00A25189">
        <w:rPr>
          <w:color w:val="C00000"/>
        </w:rPr>
        <w:t>.</w:t>
      </w:r>
      <w:r w:rsidR="00962B1F" w:rsidRPr="00C20EAA">
        <w:t xml:space="preserve">  </w:t>
      </w:r>
      <w:r w:rsidR="00CA78B9" w:rsidRPr="00C20EAA">
        <w:t>The</w:t>
      </w:r>
      <w:r w:rsidR="0017424B" w:rsidRPr="00C20EAA">
        <w:t xml:space="preserve"> information </w:t>
      </w:r>
      <w:r w:rsidR="00CA78B9" w:rsidRPr="00C20EAA">
        <w:t xml:space="preserve">collected </w:t>
      </w:r>
      <w:r w:rsidR="001C57D4">
        <w:t xml:space="preserve">during the RFI process </w:t>
      </w:r>
      <w:r w:rsidR="00CA78B9" w:rsidRPr="00C20EAA">
        <w:t xml:space="preserve">along with subsequent </w:t>
      </w:r>
      <w:r w:rsidR="0088317A" w:rsidRPr="00C20EAA">
        <w:t>interviews will be used for evaluation purposes</w:t>
      </w:r>
      <w:r w:rsidR="008120EF">
        <w:t>. Depending on the responses received ETC may choose to select a collaborator solely based on their response to the RFI or may choose to refine project requirements and subsequently release a Request for Proposals (RFP) to aid in the collaborator selection process.</w:t>
      </w:r>
      <w:r w:rsidR="0088317A" w:rsidRPr="00C20EAA">
        <w:t xml:space="preserve"> </w:t>
      </w:r>
      <w:r w:rsidR="00003055">
        <w:t>The goal of this collaborative project is the creation of a prototype with the hope it will become a commercial product in the future.</w:t>
      </w:r>
    </w:p>
    <w:p w14:paraId="3E037200" w14:textId="77777777" w:rsidR="008444A3" w:rsidRPr="005B2898" w:rsidRDefault="008444A3" w:rsidP="00612F49">
      <w:pPr>
        <w:pStyle w:val="Heading2"/>
      </w:pPr>
      <w:bookmarkStart w:id="4" w:name="_Toc449359838"/>
      <w:bookmarkStart w:id="5" w:name="_Toc466624226"/>
      <w:r w:rsidRPr="005B2898">
        <w:t>Disclaimer</w:t>
      </w:r>
      <w:bookmarkEnd w:id="4"/>
      <w:bookmarkEnd w:id="5"/>
    </w:p>
    <w:p w14:paraId="25392C3D" w14:textId="150A8752" w:rsidR="008444A3" w:rsidRDefault="008444A3" w:rsidP="0030651A">
      <w:pPr>
        <w:jc w:val="both"/>
      </w:pPr>
      <w:r>
        <w:t xml:space="preserve">The contents and information provided in this RFI are meant to provide general information to parties interested in developing the </w:t>
      </w:r>
      <w:r w:rsidR="00A25189" w:rsidRPr="00A25189">
        <w:rPr>
          <w:color w:val="000000" w:themeColor="text1"/>
        </w:rPr>
        <w:t>compact HPLC instrument.</w:t>
      </w:r>
      <w:r w:rsidRPr="00A25189">
        <w:rPr>
          <w:color w:val="000000" w:themeColor="text1"/>
        </w:rPr>
        <w:t xml:space="preserve">  </w:t>
      </w:r>
      <w:r w:rsidR="008120EF" w:rsidRPr="006056A9">
        <w:t xml:space="preserve">The successful respondent </w:t>
      </w:r>
      <w:r w:rsidR="008120EF">
        <w:t>selected by ETC at either the RFI stage or RFP stage (if applicable) will</w:t>
      </w:r>
      <w:r w:rsidR="008120EF" w:rsidDel="008120EF">
        <w:t xml:space="preserve"> </w:t>
      </w:r>
      <w:r>
        <w:t>be required to execute an Agreement that will govern the terms of the project.  When responding to this RFI, please note the following:</w:t>
      </w:r>
    </w:p>
    <w:p w14:paraId="1D62E984" w14:textId="77777777" w:rsidR="008444A3" w:rsidRDefault="008444A3" w:rsidP="00431E9B">
      <w:pPr>
        <w:pStyle w:val="ListParagraph"/>
        <w:numPr>
          <w:ilvl w:val="0"/>
          <w:numId w:val="2"/>
        </w:numPr>
        <w:ind w:left="720"/>
        <w:jc w:val="both"/>
      </w:pPr>
      <w:r>
        <w:t>This RFI is not an offer or a contract</w:t>
      </w:r>
    </w:p>
    <w:p w14:paraId="76A5401F" w14:textId="4FF6038B" w:rsidR="008444A3" w:rsidRDefault="008120EF" w:rsidP="00431E9B">
      <w:pPr>
        <w:pStyle w:val="ListParagraph"/>
        <w:numPr>
          <w:ilvl w:val="0"/>
          <w:numId w:val="2"/>
        </w:numPr>
        <w:ind w:left="720"/>
        <w:jc w:val="both"/>
      </w:pPr>
      <w:r>
        <w:t xml:space="preserve">Responses </w:t>
      </w:r>
      <w:r w:rsidR="008444A3">
        <w:t xml:space="preserve">submitted in response to this RFI become </w:t>
      </w:r>
      <w:r w:rsidR="00C248EA">
        <w:t xml:space="preserve">the </w:t>
      </w:r>
      <w:r w:rsidR="008444A3">
        <w:t>property of ETC</w:t>
      </w:r>
    </w:p>
    <w:p w14:paraId="3C99D6EE" w14:textId="77777777" w:rsidR="008444A3" w:rsidRDefault="008444A3" w:rsidP="00431E9B">
      <w:pPr>
        <w:pStyle w:val="ListParagraph"/>
        <w:numPr>
          <w:ilvl w:val="0"/>
          <w:numId w:val="2"/>
        </w:numPr>
        <w:ind w:left="720"/>
        <w:jc w:val="both"/>
      </w:pPr>
      <w:r>
        <w:t>Respondents will not be compensated or reimbursed for any costs incurred as part of the RFI process</w:t>
      </w:r>
    </w:p>
    <w:p w14:paraId="74D73110" w14:textId="4CB4C827" w:rsidR="00015E1B" w:rsidRDefault="008120EF" w:rsidP="00015E1B">
      <w:pPr>
        <w:pStyle w:val="ListParagraph"/>
        <w:numPr>
          <w:ilvl w:val="0"/>
          <w:numId w:val="2"/>
        </w:numPr>
        <w:ind w:left="720"/>
        <w:jc w:val="both"/>
      </w:pPr>
      <w:r w:rsidRPr="003A1665">
        <w:t>If ETC receives and responds to questions from RFI respondents, ETC reserves the right to anonymize the questions and make the questions and ETC’s responses available</w:t>
      </w:r>
      <w:r>
        <w:t xml:space="preserve"> to all respondents via our web</w:t>
      </w:r>
      <w:r w:rsidRPr="003A1665">
        <w:t>s</w:t>
      </w:r>
      <w:r>
        <w:t>i</w:t>
      </w:r>
      <w:r w:rsidRPr="003A1665">
        <w:t>te</w:t>
      </w:r>
    </w:p>
    <w:p w14:paraId="7E823363" w14:textId="73EAB1BF" w:rsidR="00015E1B" w:rsidRDefault="00015E1B" w:rsidP="00015E1B">
      <w:pPr>
        <w:pStyle w:val="ListParagraph"/>
        <w:numPr>
          <w:ilvl w:val="0"/>
          <w:numId w:val="2"/>
        </w:numPr>
        <w:ind w:left="720"/>
        <w:jc w:val="both"/>
      </w:pPr>
      <w:r>
        <w:t>R</w:t>
      </w:r>
      <w:r w:rsidRPr="002618B6">
        <w:t>esponses to RFIs should contain only high</w:t>
      </w:r>
      <w:r w:rsidR="00A25189">
        <w:t>-</w:t>
      </w:r>
      <w:r w:rsidRPr="002618B6">
        <w:t>level discussions of product development efforts and should not contain trade secrets or confidential information</w:t>
      </w:r>
      <w:r>
        <w:t>. ETC does not make any confidentiality commitments with respect to RFI submissions</w:t>
      </w:r>
      <w:r w:rsidR="00A25189">
        <w:t xml:space="preserve"> </w:t>
      </w:r>
      <w:r>
        <w:t>but agrees not to publicly distribute the RFI responses outside the consortium or share RFI responses with other respondents.</w:t>
      </w:r>
    </w:p>
    <w:p w14:paraId="63FA517A" w14:textId="7300700C" w:rsidR="008444A3" w:rsidRDefault="008444A3" w:rsidP="00015E1B">
      <w:pPr>
        <w:pStyle w:val="ListParagraph"/>
        <w:numPr>
          <w:ilvl w:val="0"/>
          <w:numId w:val="2"/>
        </w:numPr>
        <w:ind w:left="720"/>
        <w:jc w:val="both"/>
      </w:pPr>
      <w:r>
        <w:t xml:space="preserve">ETC is not obligated to contract for any of the products </w:t>
      </w:r>
      <w:r w:rsidR="00C248EA">
        <w:t>or</w:t>
      </w:r>
      <w:r>
        <w:t xml:space="preserve"> services described in this RFI</w:t>
      </w:r>
    </w:p>
    <w:p w14:paraId="1514A08C" w14:textId="77777777" w:rsidR="008444A3" w:rsidRDefault="008444A3" w:rsidP="00431E9B">
      <w:pPr>
        <w:pStyle w:val="ListParagraph"/>
        <w:numPr>
          <w:ilvl w:val="0"/>
          <w:numId w:val="2"/>
        </w:numPr>
        <w:ind w:left="720"/>
        <w:jc w:val="both"/>
      </w:pPr>
      <w:r>
        <w:t>ETC reserves the right to:</w:t>
      </w:r>
    </w:p>
    <w:p w14:paraId="535FCB90" w14:textId="77777777" w:rsidR="008444A3" w:rsidRDefault="008444A3" w:rsidP="00431E9B">
      <w:pPr>
        <w:pStyle w:val="ListParagraph"/>
        <w:numPr>
          <w:ilvl w:val="1"/>
          <w:numId w:val="2"/>
        </w:numPr>
        <w:ind w:left="1440"/>
        <w:jc w:val="both"/>
      </w:pPr>
      <w:r>
        <w:t>Accept or reject any or all proposals</w:t>
      </w:r>
    </w:p>
    <w:p w14:paraId="1D112FB4" w14:textId="77777777" w:rsidR="008444A3" w:rsidRDefault="008444A3" w:rsidP="00431E9B">
      <w:pPr>
        <w:pStyle w:val="ListParagraph"/>
        <w:numPr>
          <w:ilvl w:val="1"/>
          <w:numId w:val="2"/>
        </w:numPr>
        <w:ind w:left="1440"/>
        <w:jc w:val="both"/>
      </w:pPr>
      <w:r>
        <w:t>Waive any anomalies in proposals</w:t>
      </w:r>
    </w:p>
    <w:p w14:paraId="375FBE72" w14:textId="77777777" w:rsidR="008444A3" w:rsidRDefault="008444A3" w:rsidP="00431E9B">
      <w:pPr>
        <w:pStyle w:val="ListParagraph"/>
        <w:numPr>
          <w:ilvl w:val="1"/>
          <w:numId w:val="2"/>
        </w:numPr>
        <w:ind w:left="1440"/>
        <w:jc w:val="both"/>
      </w:pPr>
      <w:r>
        <w:t>Negotiate with any or all bidders</w:t>
      </w:r>
    </w:p>
    <w:p w14:paraId="6F19DBC6" w14:textId="77777777" w:rsidR="008444A3" w:rsidRDefault="008444A3" w:rsidP="00431E9B">
      <w:pPr>
        <w:pStyle w:val="ListParagraph"/>
        <w:numPr>
          <w:ilvl w:val="1"/>
          <w:numId w:val="2"/>
        </w:numPr>
        <w:ind w:left="1440"/>
        <w:jc w:val="both"/>
      </w:pPr>
      <w:r>
        <w:t>Modify or cancel this RFI at any time</w:t>
      </w:r>
    </w:p>
    <w:p w14:paraId="4E113C41" w14:textId="77777777" w:rsidR="0041230A" w:rsidRDefault="0041230A">
      <w:pPr>
        <w:rPr>
          <w:rFonts w:eastAsia="Times New Roman" w:cs="Times New Roman"/>
          <w:b/>
          <w:bCs/>
          <w:szCs w:val="26"/>
        </w:rPr>
      </w:pPr>
      <w:r>
        <w:br w:type="page"/>
      </w:r>
    </w:p>
    <w:p w14:paraId="0641773D" w14:textId="77777777" w:rsidR="00E06937" w:rsidRPr="005B2898" w:rsidRDefault="00710596" w:rsidP="00612F49">
      <w:pPr>
        <w:pStyle w:val="Heading2"/>
      </w:pPr>
      <w:bookmarkStart w:id="6" w:name="_Toc466624227"/>
      <w:r w:rsidRPr="005B2898">
        <w:t xml:space="preserve">RFI </w:t>
      </w:r>
      <w:r w:rsidR="00E06937" w:rsidRPr="005B2898">
        <w:t>Contact Information</w:t>
      </w:r>
      <w:bookmarkEnd w:id="6"/>
    </w:p>
    <w:p w14:paraId="188808AC" w14:textId="77777777" w:rsidR="0017424B" w:rsidRDefault="0017424B" w:rsidP="0017424B">
      <w:r>
        <w:t xml:space="preserve">All questions and inquiries regarding this RFI should be directed to: </w:t>
      </w:r>
    </w:p>
    <w:p w14:paraId="5A758265" w14:textId="23B0732C" w:rsidR="0017424B" w:rsidRDefault="00863A8B" w:rsidP="00D66FE4">
      <w:pPr>
        <w:ind w:left="720"/>
      </w:pPr>
      <w:r>
        <w:t xml:space="preserve">Ms. </w:t>
      </w:r>
      <w:r w:rsidR="00D66FE4">
        <w:t>Alexis</w:t>
      </w:r>
      <w:r w:rsidR="0017424B">
        <w:t xml:space="preserve"> </w:t>
      </w:r>
      <w:r w:rsidR="0041230A">
        <w:t>Myers</w:t>
      </w:r>
    </w:p>
    <w:p w14:paraId="691845D0" w14:textId="77777777" w:rsidR="00D66FE4" w:rsidRDefault="00D66FE4" w:rsidP="00D66FE4">
      <w:pPr>
        <w:ind w:left="720"/>
      </w:pPr>
      <w:r>
        <w:t>ETC Secretariat</w:t>
      </w:r>
    </w:p>
    <w:p w14:paraId="633B36B2" w14:textId="77777777" w:rsidR="00D66FE4" w:rsidRDefault="00D66FE4" w:rsidP="00D66FE4">
      <w:pPr>
        <w:ind w:left="720"/>
      </w:pPr>
      <w:r>
        <w:t>c/o Drinker Biddle &amp; Reath, LLP</w:t>
      </w:r>
    </w:p>
    <w:p w14:paraId="71AE2759" w14:textId="77777777" w:rsidR="0017424B" w:rsidRDefault="00D66FE4" w:rsidP="00D66FE4">
      <w:pPr>
        <w:ind w:left="720"/>
      </w:pPr>
      <w:r>
        <w:t>1500 K St NW</w:t>
      </w:r>
      <w:r w:rsidR="0017424B">
        <w:t xml:space="preserve"> </w:t>
      </w:r>
    </w:p>
    <w:p w14:paraId="4128759F" w14:textId="77777777" w:rsidR="0017424B" w:rsidRDefault="00D66FE4" w:rsidP="00D66FE4">
      <w:pPr>
        <w:ind w:left="720"/>
      </w:pPr>
      <w:r>
        <w:t>Washington DC, 20005-1209</w:t>
      </w:r>
      <w:r w:rsidR="0017424B">
        <w:t xml:space="preserve">  </w:t>
      </w:r>
    </w:p>
    <w:p w14:paraId="48352B01" w14:textId="77777777" w:rsidR="0017424B" w:rsidRDefault="007B3E0A" w:rsidP="00D66FE4">
      <w:pPr>
        <w:ind w:left="720"/>
      </w:pPr>
      <w:r w:rsidRPr="007B3E0A">
        <w:t>(202) 842-8800</w:t>
      </w:r>
    </w:p>
    <w:p w14:paraId="3ABFA1D3" w14:textId="77777777" w:rsidR="003F73F1" w:rsidRDefault="00E42529" w:rsidP="007B3E0A">
      <w:pPr>
        <w:ind w:left="720"/>
      </w:pPr>
      <w:hyperlink r:id="rId9" w:history="1">
        <w:r w:rsidR="0042412B" w:rsidRPr="00934410">
          <w:rPr>
            <w:rStyle w:val="Hyperlink"/>
          </w:rPr>
          <w:t>info@etconsortium.org</w:t>
        </w:r>
      </w:hyperlink>
      <w:r w:rsidR="0042412B">
        <w:t xml:space="preserve"> </w:t>
      </w:r>
    </w:p>
    <w:p w14:paraId="64AFFB09" w14:textId="77777777" w:rsidR="007C3713" w:rsidRDefault="00E42529" w:rsidP="007B3E0A">
      <w:pPr>
        <w:ind w:left="720"/>
      </w:pPr>
      <w:hyperlink r:id="rId10" w:history="1">
        <w:r w:rsidR="00B738F5" w:rsidRPr="001B414E">
          <w:rPr>
            <w:rStyle w:val="Hyperlink"/>
          </w:rPr>
          <w:t>http://www.etconsortium.org/</w:t>
        </w:r>
      </w:hyperlink>
      <w:r w:rsidR="00B738F5">
        <w:t xml:space="preserve"> </w:t>
      </w:r>
    </w:p>
    <w:p w14:paraId="4E3E6AE0" w14:textId="77777777" w:rsidR="007B3E0A" w:rsidRPr="005B2898" w:rsidRDefault="007B3E0A" w:rsidP="00612F49">
      <w:pPr>
        <w:pStyle w:val="Heading2"/>
      </w:pPr>
      <w:bookmarkStart w:id="7" w:name="_Toc466624228"/>
      <w:r w:rsidRPr="005B2898">
        <w:t xml:space="preserve">Anticipated </w:t>
      </w:r>
      <w:r w:rsidRPr="00606AC5">
        <w:t>Time</w:t>
      </w:r>
      <w:r w:rsidRPr="005B2898">
        <w:t xml:space="preserve"> Frames for Evaluation and Selection Process</w:t>
      </w:r>
      <w:bookmarkEnd w:id="7"/>
    </w:p>
    <w:p w14:paraId="4B96EEB6" w14:textId="3862ADFE" w:rsidR="007B3E0A" w:rsidRDefault="007B3E0A" w:rsidP="00030649">
      <w:pPr>
        <w:tabs>
          <w:tab w:val="left" w:leader="dot" w:pos="7200"/>
        </w:tabs>
        <w:ind w:left="720"/>
      </w:pPr>
      <w:r>
        <w:t xml:space="preserve">Issue </w:t>
      </w:r>
      <w:r w:rsidR="00030649">
        <w:t>RFI</w:t>
      </w:r>
      <w:r w:rsidR="00030649">
        <w:tab/>
      </w:r>
      <w:r w:rsidR="008C522C">
        <w:t>November 4</w:t>
      </w:r>
      <w:r w:rsidR="004C20B1" w:rsidRPr="004C20B1">
        <w:t>, 2019</w:t>
      </w:r>
      <w:r w:rsidR="0061255B" w:rsidRPr="004C20B1">
        <w:t xml:space="preserve"> </w:t>
      </w:r>
    </w:p>
    <w:p w14:paraId="7850A610" w14:textId="0248BCAC" w:rsidR="007B3E0A" w:rsidRPr="004C20B1" w:rsidRDefault="007B3E0A" w:rsidP="00030649">
      <w:pPr>
        <w:tabs>
          <w:tab w:val="left" w:leader="dot" w:pos="7200"/>
        </w:tabs>
        <w:ind w:left="720"/>
      </w:pPr>
      <w:r>
        <w:t>Questions on RFI due</w:t>
      </w:r>
      <w:r w:rsidR="00030649">
        <w:tab/>
      </w:r>
      <w:r w:rsidR="00E42529">
        <w:t>December 9</w:t>
      </w:r>
      <w:bookmarkStart w:id="8" w:name="_GoBack"/>
      <w:bookmarkEnd w:id="8"/>
      <w:r w:rsidR="004C20B1" w:rsidRPr="004C20B1">
        <w:t>, 2019</w:t>
      </w:r>
      <w:r w:rsidR="0061255B" w:rsidRPr="004C20B1">
        <w:t xml:space="preserve"> </w:t>
      </w:r>
    </w:p>
    <w:p w14:paraId="48FFADDF" w14:textId="3725CD79" w:rsidR="007B3E0A" w:rsidRPr="004C20B1" w:rsidRDefault="007B3E0A" w:rsidP="00030649">
      <w:pPr>
        <w:tabs>
          <w:tab w:val="left" w:leader="dot" w:pos="7200"/>
        </w:tabs>
        <w:ind w:left="720"/>
      </w:pPr>
      <w:r w:rsidRPr="004C20B1">
        <w:t>Responses to RFI due</w:t>
      </w:r>
      <w:r w:rsidR="00030649" w:rsidRPr="004C20B1">
        <w:tab/>
      </w:r>
      <w:r w:rsidR="00E42529">
        <w:t>January 7, 2020</w:t>
      </w:r>
      <w:r w:rsidR="0061255B" w:rsidRPr="004C20B1">
        <w:t xml:space="preserve"> </w:t>
      </w:r>
    </w:p>
    <w:p w14:paraId="13BE19CF" w14:textId="5725E18F" w:rsidR="005E59E0" w:rsidRPr="004C20B1" w:rsidRDefault="005E59E0" w:rsidP="00030649">
      <w:pPr>
        <w:tabs>
          <w:tab w:val="left" w:leader="dot" w:pos="7200"/>
        </w:tabs>
        <w:ind w:left="720"/>
      </w:pPr>
      <w:r w:rsidRPr="004C20B1">
        <w:t>Invitations sent to respondents for presentation</w:t>
      </w:r>
      <w:r w:rsidRPr="004C20B1">
        <w:tab/>
      </w:r>
      <w:r w:rsidR="008C522C">
        <w:t>January 2</w:t>
      </w:r>
      <w:r w:rsidR="00E42529">
        <w:t>8</w:t>
      </w:r>
      <w:r w:rsidR="004C20B1" w:rsidRPr="004C20B1">
        <w:t>, 2020</w:t>
      </w:r>
      <w:r w:rsidR="0061255B" w:rsidRPr="004C20B1">
        <w:t xml:space="preserve"> </w:t>
      </w:r>
    </w:p>
    <w:p w14:paraId="7EF0CCD9" w14:textId="72D498A3" w:rsidR="007B3E0A" w:rsidRPr="004C20B1" w:rsidRDefault="00030649" w:rsidP="00030649">
      <w:pPr>
        <w:tabs>
          <w:tab w:val="left" w:leader="dot" w:pos="7200"/>
        </w:tabs>
        <w:ind w:left="720"/>
      </w:pPr>
      <w:r w:rsidRPr="004C20B1">
        <w:t>Presentation to ETC by respondents</w:t>
      </w:r>
      <w:r w:rsidRPr="004C20B1">
        <w:tab/>
      </w:r>
      <w:r w:rsidR="008C522C">
        <w:t>February</w:t>
      </w:r>
      <w:r w:rsidR="004C20B1" w:rsidRPr="004C20B1">
        <w:t xml:space="preserve"> 2020</w:t>
      </w:r>
      <w:r w:rsidR="0061255B" w:rsidRPr="004C20B1">
        <w:t xml:space="preserve"> </w:t>
      </w:r>
    </w:p>
    <w:p w14:paraId="76EF98F0" w14:textId="296F5517" w:rsidR="007B3E0A" w:rsidRPr="004C20B1" w:rsidRDefault="00030649" w:rsidP="00030649">
      <w:pPr>
        <w:tabs>
          <w:tab w:val="left" w:leader="dot" w:pos="7200"/>
        </w:tabs>
        <w:ind w:left="720"/>
      </w:pPr>
      <w:r w:rsidRPr="004C20B1">
        <w:t>Select Finalists for RFP</w:t>
      </w:r>
      <w:r w:rsidRPr="004C20B1">
        <w:tab/>
      </w:r>
      <w:r w:rsidR="008C522C">
        <w:t>March</w:t>
      </w:r>
      <w:r w:rsidR="004C20B1" w:rsidRPr="004C20B1">
        <w:t xml:space="preserve"> 2020</w:t>
      </w:r>
      <w:r w:rsidR="0061255B" w:rsidRPr="004C20B1">
        <w:t xml:space="preserve"> </w:t>
      </w:r>
    </w:p>
    <w:p w14:paraId="60CB35FB" w14:textId="77777777" w:rsidR="00E55AF2" w:rsidRDefault="00E55AF2" w:rsidP="00030649">
      <w:pPr>
        <w:tabs>
          <w:tab w:val="left" w:leader="dot" w:pos="7200"/>
        </w:tabs>
        <w:ind w:left="720"/>
      </w:pPr>
    </w:p>
    <w:p w14:paraId="6EE2D5B1" w14:textId="75FA909A"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8C522C">
        <w:rPr>
          <w:b/>
          <w:i/>
        </w:rPr>
        <w:t>December 23</w:t>
      </w:r>
      <w:r w:rsidR="004C20B1" w:rsidRPr="004C20B1">
        <w:rPr>
          <w:b/>
          <w:i/>
        </w:rPr>
        <w:t>, 2019</w:t>
      </w:r>
      <w:r w:rsidR="0061255B" w:rsidRPr="004C20B1">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0F2CDCA4" w14:textId="77777777" w:rsidR="0041230A" w:rsidRDefault="0041230A">
      <w:pPr>
        <w:rPr>
          <w:rFonts w:eastAsia="Times New Roman" w:cs="Times New Roman"/>
          <w:b/>
          <w:bCs/>
          <w:sz w:val="32"/>
          <w:szCs w:val="28"/>
        </w:rPr>
      </w:pPr>
    </w:p>
    <w:p w14:paraId="47194470" w14:textId="77777777" w:rsidR="00800F24" w:rsidRDefault="00800F24" w:rsidP="00E35722">
      <w:pPr>
        <w:pStyle w:val="Heading1"/>
      </w:pPr>
      <w:bookmarkStart w:id="9" w:name="_Toc466624229"/>
      <w:r w:rsidRPr="005B2898">
        <w:t xml:space="preserve">Project </w:t>
      </w:r>
      <w:r w:rsidRPr="00800F24">
        <w:t>Information</w:t>
      </w:r>
      <w:bookmarkEnd w:id="9"/>
    </w:p>
    <w:p w14:paraId="2F6353C1" w14:textId="77777777" w:rsidR="003D0260" w:rsidRDefault="00D36DE7" w:rsidP="00612F49">
      <w:pPr>
        <w:pStyle w:val="Heading2"/>
      </w:pPr>
      <w:bookmarkStart w:id="10" w:name="_Toc466624230"/>
      <w:r w:rsidRPr="005B2898">
        <w:t xml:space="preserve">Possible </w:t>
      </w:r>
      <w:r w:rsidRPr="00612F49">
        <w:t>Project</w:t>
      </w:r>
      <w:r w:rsidRPr="005B2898">
        <w:t xml:space="preserve"> </w:t>
      </w:r>
      <w:r w:rsidRPr="003A4041">
        <w:t>Sponsors</w:t>
      </w:r>
      <w:bookmarkEnd w:id="10"/>
    </w:p>
    <w:tbl>
      <w:tblPr>
        <w:tblStyle w:val="TableGrid"/>
        <w:tblW w:w="0" w:type="auto"/>
        <w:tblLook w:val="04A0" w:firstRow="1" w:lastRow="0" w:firstColumn="1" w:lastColumn="0" w:noHBand="0" w:noVBand="1"/>
      </w:tblPr>
      <w:tblGrid>
        <w:gridCol w:w="9350"/>
      </w:tblGrid>
      <w:tr w:rsidR="00612F49" w14:paraId="2340D9EB" w14:textId="77777777" w:rsidTr="00A25189">
        <w:trPr>
          <w:trHeight w:val="683"/>
        </w:trPr>
        <w:tc>
          <w:tcPr>
            <w:tcW w:w="9576" w:type="dxa"/>
            <w:shd w:val="clear" w:color="auto" w:fill="D9D9D9" w:themeFill="background1" w:themeFillShade="D9"/>
          </w:tcPr>
          <w:p w14:paraId="1090EF81" w14:textId="6BC03DBE" w:rsidR="00612F49" w:rsidRPr="005B2898" w:rsidRDefault="00A25189" w:rsidP="008C522C">
            <w:r>
              <w:t>AbbVie, AstraZeneca, Bristol-Myers Squibb, Eli Lilly, Genentech</w:t>
            </w:r>
            <w:r w:rsidR="00122289">
              <w:t>, GlaxoSmithKline, Merck, Pfizer</w:t>
            </w:r>
          </w:p>
        </w:tc>
      </w:tr>
    </w:tbl>
    <w:p w14:paraId="25510747" w14:textId="77777777" w:rsidR="00A25189" w:rsidRDefault="00A25189">
      <w:r>
        <w:br w:type="page"/>
      </w:r>
    </w:p>
    <w:p w14:paraId="09F4CCBD" w14:textId="77777777" w:rsidR="00612F49" w:rsidRDefault="00D36DE7" w:rsidP="00612F49">
      <w:pPr>
        <w:pStyle w:val="Heading2"/>
      </w:pPr>
      <w:bookmarkStart w:id="11" w:name="_Toc466624231"/>
      <w:r w:rsidRPr="005B2898">
        <w:t>Description</w:t>
      </w:r>
      <w:bookmarkEnd w:id="11"/>
    </w:p>
    <w:tbl>
      <w:tblPr>
        <w:tblStyle w:val="TableGrid"/>
        <w:tblW w:w="9576" w:type="dxa"/>
        <w:tblLook w:val="04A0" w:firstRow="1" w:lastRow="0" w:firstColumn="1" w:lastColumn="0" w:noHBand="0" w:noVBand="1"/>
      </w:tblPr>
      <w:tblGrid>
        <w:gridCol w:w="9576"/>
      </w:tblGrid>
      <w:tr w:rsidR="00FD0713" w14:paraId="4FD88872" w14:textId="77777777" w:rsidTr="00FD0713">
        <w:trPr>
          <w:trHeight w:val="12140"/>
        </w:trPr>
        <w:tc>
          <w:tcPr>
            <w:tcW w:w="9576" w:type="dxa"/>
            <w:shd w:val="clear" w:color="auto" w:fill="D9D9D9" w:themeFill="background1" w:themeFillShade="D9"/>
          </w:tcPr>
          <w:p w14:paraId="648850AC" w14:textId="15FED1AD" w:rsidR="00FD0713" w:rsidRPr="009D22A1" w:rsidRDefault="00FD0713" w:rsidP="00FD0713">
            <w:pPr>
              <w:rPr>
                <w:rFonts w:asciiTheme="minorHAnsi" w:hAnsiTheme="minorHAnsi" w:cstheme="minorHAnsi"/>
              </w:rPr>
            </w:pPr>
            <w:r w:rsidRPr="009D22A1">
              <w:rPr>
                <w:rFonts w:asciiTheme="minorHAnsi" w:hAnsiTheme="minorHAnsi" w:cstheme="minorHAnsi"/>
              </w:rPr>
              <w:t xml:space="preserve">High performance liquid chromatography (HPLC) is a nearly universal analytical tool in organic synthesis and biochemical development laboratories. With the advent of commercially available automated sample extraction and dilution systems for heterogeneous systems (e.g. Mettler EasySampler, GlobalFIA FloPro, etc.), process development laboratories are increasingly moving towards automated analyses during synthetic route development and scale-up. Automated measurement enables unattended operation with consistent sampling at regularly scheduled intervals, increasing data density and leading to more efficient process understanding. A current limitation of the technology is related to analysis using conventional liquid chromatography systems. The chromatography system must be located proximal to the extraction and analysis or transferred over large distances. The former requirement imposes restrictions in confined spaces near the face of the laminar flow hoods where these studies are typically undertaken, and the latter approach imposes additional transfer time while increasing the risk of hold-up or carryover between successive samples. </w:t>
            </w:r>
            <w:r w:rsidR="004553A5">
              <w:rPr>
                <w:rFonts w:asciiTheme="minorHAnsi" w:hAnsiTheme="minorHAnsi" w:cstheme="minorHAnsi"/>
              </w:rPr>
              <w:t>The ETC desires</w:t>
            </w:r>
            <w:r w:rsidRPr="009D22A1">
              <w:rPr>
                <w:rFonts w:asciiTheme="minorHAnsi" w:hAnsiTheme="minorHAnsi" w:cstheme="minorHAnsi"/>
              </w:rPr>
              <w:t xml:space="preserve"> an integrated system (sample preparation and analysis) in a compact form factor that would enable mounting inside a lab hood. Depending on configuration, a compact system might enable “on demand” operation, due to minimal dead volume and small volume components that could quickly equilibrate prior to performing measurement.  </w:t>
            </w:r>
          </w:p>
          <w:p w14:paraId="5C8BC29B" w14:textId="77777777" w:rsidR="00FD0713" w:rsidRPr="009D22A1" w:rsidRDefault="00FD0713" w:rsidP="00FD0713">
            <w:pPr>
              <w:rPr>
                <w:rFonts w:asciiTheme="minorHAnsi" w:hAnsiTheme="minorHAnsi" w:cstheme="minorHAnsi"/>
              </w:rPr>
            </w:pPr>
          </w:p>
          <w:p w14:paraId="78B59244" w14:textId="1966FA62" w:rsidR="00FD0713" w:rsidRPr="009D22A1" w:rsidRDefault="00FD0713" w:rsidP="00FD0713">
            <w:pPr>
              <w:contextualSpacing/>
              <w:rPr>
                <w:rFonts w:asciiTheme="minorHAnsi" w:hAnsiTheme="minorHAnsi" w:cstheme="minorHAnsi"/>
              </w:rPr>
            </w:pPr>
            <w:r w:rsidRPr="009D22A1">
              <w:rPr>
                <w:rFonts w:asciiTheme="minorHAnsi" w:hAnsiTheme="minorHAnsi" w:cstheme="minorHAnsi"/>
              </w:rPr>
              <w:t>The ETC is seeking companies interested in supplying a viable commercial compact HPLC system. This technology, combined with existing automated sample extraction and dilution systems, would enable hood-mounted on-line characterization of chemical processes during development and scale-up in pharmaceutical, commodity, and s</w:t>
            </w:r>
            <w:r w:rsidR="007C21BC">
              <w:rPr>
                <w:rFonts w:asciiTheme="minorHAnsi" w:hAnsiTheme="minorHAnsi" w:cstheme="minorHAnsi"/>
              </w:rPr>
              <w:t>pecialty chemical laboratories.</w:t>
            </w:r>
          </w:p>
          <w:p w14:paraId="68B9325D" w14:textId="77777777" w:rsidR="00FD0713" w:rsidRPr="009D22A1" w:rsidRDefault="00FD0713" w:rsidP="00FD0713">
            <w:pPr>
              <w:contextualSpacing/>
              <w:rPr>
                <w:rFonts w:asciiTheme="minorHAnsi" w:hAnsiTheme="minorHAnsi" w:cstheme="minorHAnsi"/>
              </w:rPr>
            </w:pPr>
          </w:p>
          <w:p w14:paraId="1769E73B" w14:textId="6925C865" w:rsidR="00FD0713" w:rsidRPr="005B2898" w:rsidRDefault="00FD0713" w:rsidP="00192127">
            <w:r w:rsidRPr="009D22A1">
              <w:rPr>
                <w:rFonts w:asciiTheme="minorHAnsi" w:hAnsiTheme="minorHAnsi" w:cstheme="minorHAnsi"/>
              </w:rPr>
              <w:t xml:space="preserve">The sections below detail the system requirements as identified by a working group within the Enabling Technologies Consortium (ETC). </w:t>
            </w:r>
            <w:r w:rsidR="00192127">
              <w:rPr>
                <w:rFonts w:asciiTheme="minorHAnsi" w:hAnsiTheme="minorHAnsi" w:cstheme="minorHAnsi"/>
              </w:rPr>
              <w:t>ETC</w:t>
            </w:r>
            <w:r w:rsidRPr="009D22A1">
              <w:rPr>
                <w:rFonts w:asciiTheme="minorHAnsi" w:hAnsiTheme="minorHAnsi" w:cstheme="minorHAnsi"/>
              </w:rPr>
              <w:t xml:space="preserve"> is interested in entertaining proposals from vendors regarding technologies that might be amenable to collaborative development.</w:t>
            </w:r>
            <w:r>
              <w:rPr>
                <w:rFonts w:asciiTheme="majorHAnsi" w:hAnsiTheme="majorHAnsi"/>
              </w:rPr>
              <w:t xml:space="preserve"> </w:t>
            </w:r>
          </w:p>
        </w:tc>
      </w:tr>
    </w:tbl>
    <w:p w14:paraId="40F765B7" w14:textId="23B67473" w:rsidR="00CC54AC" w:rsidRPr="005B2898" w:rsidRDefault="00FD0713" w:rsidP="00612F49">
      <w:pPr>
        <w:pStyle w:val="Heading2"/>
      </w:pPr>
      <w:bookmarkStart w:id="12" w:name="_Toc466624232"/>
      <w:r>
        <w:t>Compact HPLC Instrument</w:t>
      </w:r>
      <w:r w:rsidR="003729CB">
        <w:t xml:space="preserve"> </w:t>
      </w:r>
      <w:r w:rsidR="00530F7B" w:rsidRPr="005B2898">
        <w:t>R</w:t>
      </w:r>
      <w:r w:rsidR="00CC54AC" w:rsidRPr="005B2898">
        <w:t>equirements</w:t>
      </w:r>
      <w:bookmarkEnd w:id="12"/>
    </w:p>
    <w:p w14:paraId="6E05F153" w14:textId="77777777" w:rsidR="0079761E" w:rsidRPr="0030651A" w:rsidRDefault="004C14EF" w:rsidP="00612F49">
      <w:pPr>
        <w:pStyle w:val="Heading3"/>
      </w:pPr>
      <w:bookmarkStart w:id="13" w:name="_Toc466624233"/>
      <w:r w:rsidRPr="0030651A">
        <w:t xml:space="preserve">Necessary </w:t>
      </w:r>
      <w:r w:rsidR="0079761E" w:rsidRPr="0030651A">
        <w:t xml:space="preserve">Hardware and </w:t>
      </w:r>
      <w:r w:rsidR="0079761E" w:rsidRPr="00612F49">
        <w:t>Software</w:t>
      </w:r>
      <w:r w:rsidR="0079761E" w:rsidRPr="0030651A">
        <w:t xml:space="preserve"> Requirement</w:t>
      </w:r>
      <w:r w:rsidRPr="0030651A">
        <w:t>s</w:t>
      </w:r>
      <w:bookmarkEnd w:id="13"/>
    </w:p>
    <w:tbl>
      <w:tblPr>
        <w:tblStyle w:val="TableGrid"/>
        <w:tblW w:w="0" w:type="auto"/>
        <w:tblLook w:val="04A0" w:firstRow="1" w:lastRow="0" w:firstColumn="1" w:lastColumn="0" w:noHBand="0" w:noVBand="1"/>
      </w:tblPr>
      <w:tblGrid>
        <w:gridCol w:w="9350"/>
      </w:tblGrid>
      <w:tr w:rsidR="00530F7B" w14:paraId="4A482F27" w14:textId="77777777" w:rsidTr="00D15344">
        <w:trPr>
          <w:trHeight w:val="1872"/>
        </w:trPr>
        <w:tc>
          <w:tcPr>
            <w:tcW w:w="9576" w:type="dxa"/>
            <w:shd w:val="clear" w:color="auto" w:fill="D9D9D9" w:themeFill="background1" w:themeFillShade="D9"/>
          </w:tcPr>
          <w:p w14:paraId="264F9BE0" w14:textId="2E44C8D7" w:rsidR="00FD0713" w:rsidRPr="00FD0713" w:rsidRDefault="00FD0713" w:rsidP="00FD0713">
            <w:pPr>
              <w:keepNext w:val="0"/>
              <w:keepLines w:val="0"/>
              <w:rPr>
                <w:u w:val="single"/>
              </w:rPr>
            </w:pPr>
            <w:r w:rsidRPr="00FD0713">
              <w:rPr>
                <w:u w:val="single"/>
              </w:rPr>
              <w:t>Hardware Requirements</w:t>
            </w:r>
          </w:p>
          <w:p w14:paraId="571BB558"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t>A complete chromatographic system with dimensions on the order of 16” x 14” x 18” (W x H x D) for easy transport and operation within standard laboratory laminar flow hoods.</w:t>
            </w:r>
          </w:p>
          <w:p w14:paraId="5D08CA0F"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Performance (e.g. resolution, sensitivity, analysis time) comparable to conventional bench top HPLC systems is required. A demonstration of limit of detection (LOD) approaching that of a conventional benchtop unit using a model compound is desired.</w:t>
            </w:r>
          </w:p>
          <w:p w14:paraId="353C7A2A" w14:textId="5284B8A2" w:rsidR="00FD0713" w:rsidRPr="00FD0713" w:rsidRDefault="00FD0713" w:rsidP="00FD0713">
            <w:pPr>
              <w:keepNext w:val="0"/>
              <w:keepLines w:val="0"/>
              <w:numPr>
                <w:ilvl w:val="0"/>
                <w:numId w:val="7"/>
              </w:numPr>
              <w:contextualSpacing/>
              <w:rPr>
                <w:rFonts w:eastAsia="Times New Roman" w:cs="Times New Roman"/>
                <w:bCs/>
                <w:szCs w:val="28"/>
              </w:rPr>
            </w:pPr>
            <w:r w:rsidRPr="00FD0713">
              <w:t xml:space="preserve">The instrument and accessories should be powered by a </w:t>
            </w:r>
            <w:r w:rsidR="00FF7683">
              <w:t xml:space="preserve">single electrical </w:t>
            </w:r>
            <w:r w:rsidR="00FF7683" w:rsidRPr="00FD0713">
              <w:t>service</w:t>
            </w:r>
            <w:r w:rsidR="00FF7683">
              <w:t xml:space="preserve"> (</w:t>
            </w:r>
            <w:r w:rsidR="00FF7683" w:rsidRPr="00FD0713">
              <w:t>110V/15A</w:t>
            </w:r>
            <w:r w:rsidR="00FF7683">
              <w:t xml:space="preserve"> or 220V)</w:t>
            </w:r>
            <w:r w:rsidR="00FF7683" w:rsidRPr="00FD0713">
              <w:t>.</w:t>
            </w:r>
            <w:r w:rsidRPr="00FD0713">
              <w:t xml:space="preserve"> Battery power is desirable for some applications, but not a requirement.</w:t>
            </w:r>
          </w:p>
          <w:p w14:paraId="6C27797E"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Material of construction of wetted parts should be compatible with a wide variety of solutions and solvents used in organic synthetic process development. Although not required, inert materials for the handling of biologic materials is also desired.</w:t>
            </w:r>
          </w:p>
          <w:p w14:paraId="416CC79E"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The mobile phase solvent pump must be capable of at least 400 bar pressure. A pump capable of 1000 bar is preferred.</w:t>
            </w:r>
          </w:p>
          <w:p w14:paraId="0532C128"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Minimum 2-channel gradient capability, with a desire for 3 gradient channels.</w:t>
            </w:r>
          </w:p>
          <w:p w14:paraId="0728DD52" w14:textId="66EB4D56"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A single</w:t>
            </w:r>
            <w:r w:rsidR="003B42D8">
              <w:rPr>
                <w:rFonts w:eastAsia="Times New Roman" w:cs="Times New Roman"/>
                <w:bCs/>
                <w:szCs w:val="28"/>
              </w:rPr>
              <w:t>-</w:t>
            </w:r>
            <w:r w:rsidRPr="00FD0713">
              <w:rPr>
                <w:rFonts w:eastAsia="Times New Roman" w:cs="Times New Roman"/>
                <w:bCs/>
                <w:szCs w:val="28"/>
              </w:rPr>
              <w:t xml:space="preserve"> or dual</w:t>
            </w:r>
            <w:r w:rsidR="003B42D8">
              <w:rPr>
                <w:rFonts w:eastAsia="Times New Roman" w:cs="Times New Roman"/>
                <w:bCs/>
                <w:szCs w:val="28"/>
              </w:rPr>
              <w:t>-</w:t>
            </w:r>
            <w:r w:rsidRPr="00FD0713">
              <w:rPr>
                <w:rFonts w:eastAsia="Times New Roman" w:cs="Times New Roman"/>
                <w:bCs/>
                <w:szCs w:val="28"/>
              </w:rPr>
              <w:t xml:space="preserve"> channel</w:t>
            </w:r>
            <w:r w:rsidR="00FF7683">
              <w:rPr>
                <w:rFonts w:eastAsia="Times New Roman" w:cs="Times New Roman"/>
                <w:bCs/>
                <w:szCs w:val="28"/>
              </w:rPr>
              <w:t xml:space="preserve"> ultraviolet</w:t>
            </w:r>
            <w:r w:rsidRPr="00FD0713">
              <w:rPr>
                <w:rFonts w:eastAsia="Times New Roman" w:cs="Times New Roman"/>
                <w:bCs/>
                <w:szCs w:val="28"/>
              </w:rPr>
              <w:t xml:space="preserve"> </w:t>
            </w:r>
            <w:r w:rsidR="00FF7683">
              <w:rPr>
                <w:rFonts w:eastAsia="Times New Roman" w:cs="Times New Roman"/>
                <w:bCs/>
                <w:szCs w:val="28"/>
              </w:rPr>
              <w:t>(</w:t>
            </w:r>
            <w:r w:rsidRPr="00FD0713">
              <w:rPr>
                <w:rFonts w:eastAsia="Times New Roman" w:cs="Times New Roman"/>
                <w:bCs/>
                <w:szCs w:val="28"/>
              </w:rPr>
              <w:t>UV</w:t>
            </w:r>
            <w:r w:rsidR="00FF7683">
              <w:rPr>
                <w:rFonts w:eastAsia="Times New Roman" w:cs="Times New Roman"/>
                <w:bCs/>
                <w:szCs w:val="28"/>
              </w:rPr>
              <w:t>)</w:t>
            </w:r>
            <w:r w:rsidRPr="00FD0713">
              <w:rPr>
                <w:rFonts w:eastAsia="Times New Roman" w:cs="Times New Roman"/>
                <w:bCs/>
                <w:szCs w:val="28"/>
              </w:rPr>
              <w:t xml:space="preserve"> detector in the range of 210-360</w:t>
            </w:r>
            <w:r w:rsidR="00446AE5">
              <w:rPr>
                <w:rFonts w:eastAsia="Times New Roman" w:cs="Times New Roman"/>
                <w:bCs/>
                <w:szCs w:val="28"/>
              </w:rPr>
              <w:t>nm</w:t>
            </w:r>
            <w:r w:rsidRPr="00FD0713">
              <w:rPr>
                <w:rFonts w:eastAsia="Times New Roman" w:cs="Times New Roman"/>
                <w:bCs/>
                <w:szCs w:val="28"/>
              </w:rPr>
              <w:t xml:space="preserve"> is a minimum requirement. There is a strong preference for a variable wavelength or array detector. Minimum sample rate in all cases should be compatible with fast </w:t>
            </w:r>
            <w:r w:rsidR="00FF7683">
              <w:rPr>
                <w:rFonts w:eastAsia="Times New Roman" w:cs="Times New Roman"/>
                <w:bCs/>
                <w:szCs w:val="28"/>
              </w:rPr>
              <w:t>HP</w:t>
            </w:r>
            <w:r w:rsidRPr="00FD0713">
              <w:rPr>
                <w:rFonts w:eastAsia="Times New Roman" w:cs="Times New Roman"/>
                <w:bCs/>
                <w:szCs w:val="28"/>
              </w:rPr>
              <w:t>LC separations (</w:t>
            </w:r>
            <w:r w:rsidRPr="00FD0713">
              <w:rPr>
                <w:rFonts w:eastAsia="Times New Roman" w:cs="Times New Roman"/>
                <w:bCs/>
                <w:szCs w:val="28"/>
                <w:u w:val="single"/>
              </w:rPr>
              <w:t>&gt;</w:t>
            </w:r>
            <w:r w:rsidRPr="00FD0713">
              <w:rPr>
                <w:rFonts w:eastAsia="Times New Roman" w:cs="Times New Roman"/>
                <w:bCs/>
                <w:szCs w:val="28"/>
              </w:rPr>
              <w:t>60 Hz).</w:t>
            </w:r>
          </w:p>
          <w:p w14:paraId="45BF58B2" w14:textId="1FD9ABC9"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 xml:space="preserve">Chromatography columns should provide efficiencies comparable to typical 2.7 </w:t>
            </w:r>
            <w:r w:rsidR="00446AE5">
              <w:rPr>
                <w:rFonts w:eastAsia="Times New Roman" w:cs="Times New Roman"/>
                <w:bCs/>
                <w:szCs w:val="28"/>
              </w:rPr>
              <w:t>µ</w:t>
            </w:r>
            <w:r w:rsidR="00446AE5" w:rsidRPr="00FD0713">
              <w:rPr>
                <w:rFonts w:eastAsia="Times New Roman" w:cs="Times New Roman"/>
                <w:bCs/>
                <w:szCs w:val="28"/>
              </w:rPr>
              <w:t xml:space="preserve">m </w:t>
            </w:r>
            <w:r w:rsidRPr="00FD0713">
              <w:rPr>
                <w:rFonts w:eastAsia="Times New Roman" w:cs="Times New Roman"/>
                <w:bCs/>
                <w:szCs w:val="28"/>
              </w:rPr>
              <w:t>core-shell C18 columns (~250,000 N/m). Columns should be readily available packed with a variety of commercial phases from multiple column suppliers.</w:t>
            </w:r>
          </w:p>
          <w:p w14:paraId="58BA908F"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Instrument should be able to trigger remotely using contact closure or other common initiation event.</w:t>
            </w:r>
          </w:p>
          <w:p w14:paraId="0848AD5F" w14:textId="58511955"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A column compartment capable of 20-65</w:t>
            </w:r>
            <w:r w:rsidR="00446AE5">
              <w:rPr>
                <w:rFonts w:eastAsia="Times New Roman" w:cs="Times New Roman"/>
                <w:bCs/>
                <w:szCs w:val="28"/>
              </w:rPr>
              <w:t>°</w:t>
            </w:r>
            <w:r w:rsidRPr="00FD0713">
              <w:rPr>
                <w:rFonts w:eastAsia="Times New Roman" w:cs="Times New Roman"/>
                <w:bCs/>
                <w:szCs w:val="28"/>
              </w:rPr>
              <w:t>C temperature control is desirable.</w:t>
            </w:r>
          </w:p>
          <w:p w14:paraId="672FCCCF"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Facile coupling with mass spectrometry detection is also desired.</w:t>
            </w:r>
          </w:p>
          <w:p w14:paraId="2FD0FCFD" w14:textId="77777777" w:rsidR="00FD0713" w:rsidRPr="00FD0713" w:rsidRDefault="00FD0713" w:rsidP="00FD0713">
            <w:pPr>
              <w:keepNext w:val="0"/>
              <w:keepLines w:val="0"/>
              <w:rPr>
                <w:rFonts w:eastAsia="Times New Roman" w:cs="Times New Roman"/>
                <w:bCs/>
                <w:szCs w:val="28"/>
                <w:u w:val="single"/>
              </w:rPr>
            </w:pPr>
            <w:r w:rsidRPr="00FD0713">
              <w:rPr>
                <w:rFonts w:eastAsia="Times New Roman" w:cs="Times New Roman"/>
                <w:bCs/>
                <w:szCs w:val="28"/>
                <w:u w:val="single"/>
              </w:rPr>
              <w:t>Software Requirements – User Interface</w:t>
            </w:r>
          </w:p>
          <w:p w14:paraId="7F863CF0" w14:textId="7CA00306"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An intuitive interface for use by non-specialists is required. Control through conventional chromatography data systems is strongly desired.</w:t>
            </w:r>
          </w:p>
          <w:p w14:paraId="5BDCCAE2"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Setup to enable a sequence of analyses (e.g. sampling interval, method parameters, number of samples, etc.) should be available in a user-friendly fashion that requires minimal training or special expertise.</w:t>
            </w:r>
          </w:p>
          <w:p w14:paraId="40601825" w14:textId="77777777" w:rsidR="00FD0713"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There is a requirement for simple output in a standard report format (e.g. Allotrope Foundation) to enable integration with process data management systems. Output via OPC-UA or other standard formats is desired for system integration.</w:t>
            </w:r>
          </w:p>
          <w:p w14:paraId="418B0754" w14:textId="77777777" w:rsidR="00FD0713" w:rsidRPr="00FD0713" w:rsidRDefault="00FD0713" w:rsidP="00FD0713">
            <w:pPr>
              <w:keepNext w:val="0"/>
              <w:keepLines w:val="0"/>
              <w:rPr>
                <w:rFonts w:eastAsia="Times New Roman" w:cs="Times New Roman"/>
                <w:bCs/>
                <w:szCs w:val="28"/>
                <w:u w:val="single"/>
              </w:rPr>
            </w:pPr>
            <w:r w:rsidRPr="00FD0713">
              <w:rPr>
                <w:rFonts w:eastAsia="Times New Roman" w:cs="Times New Roman"/>
                <w:bCs/>
                <w:szCs w:val="28"/>
                <w:u w:val="single"/>
              </w:rPr>
              <w:t xml:space="preserve">Other System Requirements </w:t>
            </w:r>
          </w:p>
          <w:p w14:paraId="39127FF3" w14:textId="2729DB8F" w:rsid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Vendor</w:t>
            </w:r>
            <w:r w:rsidR="00FF7683">
              <w:rPr>
                <w:rFonts w:eastAsia="Times New Roman" w:cs="Times New Roman"/>
                <w:bCs/>
                <w:szCs w:val="28"/>
              </w:rPr>
              <w:t xml:space="preserve"> </w:t>
            </w:r>
            <w:r w:rsidRPr="00FD0713">
              <w:rPr>
                <w:rFonts w:eastAsia="Times New Roman" w:cs="Times New Roman"/>
                <w:bCs/>
                <w:szCs w:val="28"/>
              </w:rPr>
              <w:t xml:space="preserve">provided IQ/OQ </w:t>
            </w:r>
            <w:r w:rsidR="004E4F37">
              <w:rPr>
                <w:rFonts w:eastAsia="Times New Roman" w:cs="Times New Roman"/>
                <w:bCs/>
                <w:szCs w:val="28"/>
              </w:rPr>
              <w:t xml:space="preserve">(Installation Qualification/Operational Qualification) </w:t>
            </w:r>
            <w:r w:rsidRPr="00FD0713">
              <w:rPr>
                <w:rFonts w:eastAsia="Times New Roman" w:cs="Times New Roman"/>
                <w:bCs/>
                <w:szCs w:val="28"/>
              </w:rPr>
              <w:t>process.</w:t>
            </w:r>
          </w:p>
          <w:p w14:paraId="7507E0CE" w14:textId="0A13EA5C" w:rsidR="00530F7B" w:rsidRPr="00FD0713" w:rsidRDefault="00FD0713" w:rsidP="00FD0713">
            <w:pPr>
              <w:keepNext w:val="0"/>
              <w:keepLines w:val="0"/>
              <w:numPr>
                <w:ilvl w:val="0"/>
                <w:numId w:val="7"/>
              </w:numPr>
              <w:contextualSpacing/>
              <w:rPr>
                <w:rFonts w:eastAsia="Times New Roman" w:cs="Times New Roman"/>
                <w:bCs/>
                <w:szCs w:val="28"/>
              </w:rPr>
            </w:pPr>
            <w:r w:rsidRPr="00FD0713">
              <w:rPr>
                <w:rFonts w:eastAsia="Times New Roman" w:cs="Times New Roman"/>
                <w:bCs/>
                <w:szCs w:val="28"/>
              </w:rPr>
              <w:t>A migration path to GMP use must be available (i.e. 21CFR part 11)</w:t>
            </w:r>
          </w:p>
        </w:tc>
      </w:tr>
    </w:tbl>
    <w:p w14:paraId="4E45CFCC" w14:textId="77777777" w:rsidR="00E30133" w:rsidRPr="005B2898" w:rsidRDefault="00E30133" w:rsidP="00612F49">
      <w:pPr>
        <w:pStyle w:val="Heading3"/>
      </w:pPr>
      <w:bookmarkStart w:id="14" w:name="_Toc466624234"/>
      <w:r w:rsidRPr="005B2898">
        <w:t xml:space="preserve">Optional </w:t>
      </w:r>
      <w:r w:rsidR="004C14EF" w:rsidRPr="005B2898">
        <w:t xml:space="preserve">Hardware and Software </w:t>
      </w:r>
      <w:r w:rsidRPr="005B2898">
        <w:t>Requirements</w:t>
      </w:r>
      <w:bookmarkEnd w:id="14"/>
    </w:p>
    <w:tbl>
      <w:tblPr>
        <w:tblStyle w:val="TableGrid"/>
        <w:tblW w:w="0" w:type="auto"/>
        <w:tblLook w:val="04A0" w:firstRow="1" w:lastRow="0" w:firstColumn="1" w:lastColumn="0" w:noHBand="0" w:noVBand="1"/>
      </w:tblPr>
      <w:tblGrid>
        <w:gridCol w:w="9350"/>
      </w:tblGrid>
      <w:tr w:rsidR="00E30133" w14:paraId="5B2845B3" w14:textId="77777777" w:rsidTr="00D15344">
        <w:trPr>
          <w:trHeight w:val="1872"/>
        </w:trPr>
        <w:tc>
          <w:tcPr>
            <w:tcW w:w="9576" w:type="dxa"/>
            <w:shd w:val="clear" w:color="auto" w:fill="D9D9D9" w:themeFill="background1" w:themeFillShade="D9"/>
          </w:tcPr>
          <w:p w14:paraId="20DE0FE8" w14:textId="77777777" w:rsidR="00FD0713" w:rsidRDefault="00FD0713" w:rsidP="00FD0713">
            <w:pPr>
              <w:keepNext w:val="0"/>
              <w:keepLines w:val="0"/>
              <w:numPr>
                <w:ilvl w:val="0"/>
                <w:numId w:val="8"/>
              </w:numPr>
              <w:contextualSpacing/>
            </w:pPr>
            <w:r w:rsidRPr="00FD0713">
              <w:t>Operation with an autosampler (vendor-supplied or third party) to enable standard bench-top measurements and troubleshooting would be useful.</w:t>
            </w:r>
          </w:p>
          <w:p w14:paraId="67419CC6" w14:textId="488B3E33" w:rsidR="00612F49" w:rsidRPr="005B2898" w:rsidRDefault="00FD0713" w:rsidP="00FD0713">
            <w:pPr>
              <w:keepNext w:val="0"/>
              <w:keepLines w:val="0"/>
              <w:numPr>
                <w:ilvl w:val="0"/>
                <w:numId w:val="8"/>
              </w:numPr>
              <w:contextualSpacing/>
            </w:pPr>
            <w:r w:rsidRPr="00FD0713">
              <w:t>The ability to stack sequential analyses during real-time operation for visualization process evolution is desired, as is the capability of plotting individual species as a function of time (trend plots).</w:t>
            </w:r>
          </w:p>
        </w:tc>
      </w:tr>
    </w:tbl>
    <w:p w14:paraId="3306C1D7" w14:textId="77777777" w:rsidR="00CC54AC" w:rsidRPr="005B2898" w:rsidRDefault="00530F7B" w:rsidP="00612F49">
      <w:pPr>
        <w:pStyle w:val="Heading3"/>
      </w:pPr>
      <w:bookmarkStart w:id="15" w:name="_Toc466624235"/>
      <w:r w:rsidRPr="005B2898">
        <w:t>Availability Requirements</w:t>
      </w:r>
      <w:bookmarkEnd w:id="15"/>
    </w:p>
    <w:tbl>
      <w:tblPr>
        <w:tblStyle w:val="TableGrid"/>
        <w:tblW w:w="0" w:type="auto"/>
        <w:tblLook w:val="04A0" w:firstRow="1" w:lastRow="0" w:firstColumn="1" w:lastColumn="0" w:noHBand="0" w:noVBand="1"/>
      </w:tblPr>
      <w:tblGrid>
        <w:gridCol w:w="9350"/>
      </w:tblGrid>
      <w:tr w:rsidR="00530F7B" w14:paraId="33827262" w14:textId="77777777" w:rsidTr="00D15344">
        <w:trPr>
          <w:trHeight w:val="1872"/>
        </w:trPr>
        <w:tc>
          <w:tcPr>
            <w:tcW w:w="9576" w:type="dxa"/>
            <w:shd w:val="clear" w:color="auto" w:fill="D9D9D9" w:themeFill="background1" w:themeFillShade="D9"/>
          </w:tcPr>
          <w:p w14:paraId="2919B369" w14:textId="77777777" w:rsidR="00FD0713" w:rsidRPr="00FD0713" w:rsidRDefault="00FD0713" w:rsidP="00FD0713">
            <w:pPr>
              <w:keepNext w:val="0"/>
              <w:keepLines w:val="0"/>
              <w:numPr>
                <w:ilvl w:val="0"/>
                <w:numId w:val="9"/>
              </w:numPr>
              <w:contextualSpacing/>
            </w:pPr>
            <w:r w:rsidRPr="00FD0713">
              <w:t>Commercially available instrument, in the form of a single compact unit.</w:t>
            </w:r>
          </w:p>
          <w:p w14:paraId="5A04799E" w14:textId="77777777" w:rsidR="00FD0713" w:rsidRPr="00FD0713" w:rsidRDefault="00FD0713" w:rsidP="00FD0713">
            <w:pPr>
              <w:keepNext w:val="0"/>
              <w:keepLines w:val="0"/>
              <w:numPr>
                <w:ilvl w:val="0"/>
                <w:numId w:val="9"/>
              </w:numPr>
              <w:contextualSpacing/>
            </w:pPr>
            <w:r w:rsidRPr="00FD0713">
              <w:t>Any requisite service on the instrument should be available globally.</w:t>
            </w:r>
          </w:p>
          <w:p w14:paraId="3C9C5F5D" w14:textId="2304E226" w:rsidR="00FD0713" w:rsidRDefault="00FD0713" w:rsidP="00FD0713">
            <w:pPr>
              <w:keepNext w:val="0"/>
              <w:keepLines w:val="0"/>
              <w:numPr>
                <w:ilvl w:val="0"/>
                <w:numId w:val="9"/>
              </w:numPr>
              <w:contextualSpacing/>
            </w:pPr>
            <w:r w:rsidRPr="00FD0713">
              <w:t>Vendor-provided, hardware and software support for both the chromatographic and sampling system is expected for the reasonable life of the product</w:t>
            </w:r>
            <w:r w:rsidR="00C93304">
              <w:t>.</w:t>
            </w:r>
          </w:p>
          <w:p w14:paraId="25471878" w14:textId="4773B2BA" w:rsidR="00ED4902" w:rsidRPr="005B2898" w:rsidRDefault="00FD0713" w:rsidP="00FD0713">
            <w:pPr>
              <w:keepNext w:val="0"/>
              <w:keepLines w:val="0"/>
              <w:numPr>
                <w:ilvl w:val="0"/>
                <w:numId w:val="9"/>
              </w:numPr>
              <w:contextualSpacing/>
            </w:pPr>
            <w:r w:rsidRPr="00FD0713">
              <w:t>Hardware, software, and firmware updates should be field deployable and available at reasonable cost following launch of the commercial technology.</w:t>
            </w:r>
          </w:p>
        </w:tc>
      </w:tr>
    </w:tbl>
    <w:p w14:paraId="2E6AFBAF" w14:textId="77777777" w:rsidR="00530F7B" w:rsidRPr="005B2898" w:rsidRDefault="00986B27" w:rsidP="00612F49">
      <w:pPr>
        <w:pStyle w:val="Heading3"/>
      </w:pPr>
      <w:bookmarkStart w:id="16" w:name="_Toc466624236"/>
      <w:r w:rsidRPr="005B2898">
        <w:t>Licensing</w:t>
      </w:r>
      <w:r w:rsidR="00530F7B" w:rsidRPr="005B2898">
        <w:t xml:space="preserve"> Requirements</w:t>
      </w:r>
      <w:r w:rsidR="003B2215" w:rsidRPr="005B2898">
        <w:t xml:space="preserve"> for Commercialized Product</w:t>
      </w:r>
      <w:bookmarkEnd w:id="16"/>
    </w:p>
    <w:tbl>
      <w:tblPr>
        <w:tblStyle w:val="TableGrid"/>
        <w:tblW w:w="0" w:type="auto"/>
        <w:tblLook w:val="04A0" w:firstRow="1" w:lastRow="0" w:firstColumn="1" w:lastColumn="0" w:noHBand="0" w:noVBand="1"/>
      </w:tblPr>
      <w:tblGrid>
        <w:gridCol w:w="9350"/>
      </w:tblGrid>
      <w:tr w:rsidR="00530F7B" w14:paraId="24EAD012" w14:textId="77777777" w:rsidTr="00D15344">
        <w:trPr>
          <w:trHeight w:val="1872"/>
        </w:trPr>
        <w:tc>
          <w:tcPr>
            <w:tcW w:w="9576" w:type="dxa"/>
            <w:shd w:val="clear" w:color="auto" w:fill="D9D9D9" w:themeFill="background1" w:themeFillShade="D9"/>
          </w:tcPr>
          <w:p w14:paraId="214C311F" w14:textId="77777777" w:rsidR="004C20B1" w:rsidRDefault="004C20B1" w:rsidP="004C20B1">
            <w:pPr>
              <w:pStyle w:val="ListParagraph"/>
              <w:keepNext w:val="0"/>
              <w:keepLines w:val="0"/>
              <w:numPr>
                <w:ilvl w:val="0"/>
                <w:numId w:val="6"/>
              </w:numPr>
            </w:pPr>
            <w:r>
              <w:t xml:space="preserve">For the duration of the project with ETC (e.g., development and testing), any required software will be provided to ETC participants at no cost.  </w:t>
            </w:r>
          </w:p>
          <w:p w14:paraId="03054091" w14:textId="112B6FA1" w:rsidR="004C20B1" w:rsidRDefault="004C20B1" w:rsidP="004C20B1">
            <w:pPr>
              <w:pStyle w:val="ListParagraph"/>
              <w:keepNext w:val="0"/>
              <w:keepLines w:val="0"/>
              <w:numPr>
                <w:ilvl w:val="0"/>
                <w:numId w:val="6"/>
              </w:numPr>
            </w:pPr>
            <w:r>
              <w:t xml:space="preserve">For the commercial product, software should be licensed to customers on a perpetual basis or subscription basis at the option of customer.  </w:t>
            </w:r>
          </w:p>
          <w:p w14:paraId="7B8AA708" w14:textId="77777777" w:rsidR="004C20B1" w:rsidRDefault="004C20B1" w:rsidP="004C20B1">
            <w:pPr>
              <w:pStyle w:val="ListParagraph"/>
              <w:keepNext w:val="0"/>
              <w:keepLines w:val="0"/>
              <w:numPr>
                <w:ilvl w:val="0"/>
                <w:numId w:val="6"/>
              </w:numPr>
            </w:pPr>
            <w:r>
              <w:t xml:space="preserve">Software shall be available for self-hosting by (or on behalf of) customer even if the company elects to make a SaaS alternative available.  </w:t>
            </w:r>
          </w:p>
          <w:p w14:paraId="1136CC22" w14:textId="77777777" w:rsidR="004C20B1" w:rsidRDefault="004C20B1" w:rsidP="004C20B1">
            <w:pPr>
              <w:pStyle w:val="ListParagraph"/>
              <w:keepNext w:val="0"/>
              <w:keepLines w:val="0"/>
              <w:numPr>
                <w:ilvl w:val="0"/>
                <w:numId w:val="6"/>
              </w:numPr>
            </w:pPr>
            <w:r>
              <w:t>The company shall make available industry standard support.</w:t>
            </w:r>
          </w:p>
          <w:p w14:paraId="25540FB1" w14:textId="471F2717" w:rsidR="003B2215" w:rsidRPr="005B2898" w:rsidRDefault="004C20B1" w:rsidP="004C20B1">
            <w:pPr>
              <w:pStyle w:val="ListParagraph"/>
              <w:keepNext w:val="0"/>
              <w:keepLines w:val="0"/>
              <w:numPr>
                <w:ilvl w:val="0"/>
                <w:numId w:val="6"/>
              </w:numPr>
            </w:pPr>
            <w:r>
              <w:t>Ownership of data generated on system resides with customer.</w:t>
            </w:r>
          </w:p>
        </w:tc>
      </w:tr>
    </w:tbl>
    <w:p w14:paraId="5F3D030D" w14:textId="77777777" w:rsidR="003F73F1" w:rsidRPr="005B2898" w:rsidRDefault="003F73F1" w:rsidP="00612F49">
      <w:pPr>
        <w:pStyle w:val="Heading1"/>
      </w:pPr>
      <w:bookmarkStart w:id="17" w:name="_Toc466624237"/>
      <w:r w:rsidRPr="005B2898">
        <w:t>Criteria for Evaluation</w:t>
      </w:r>
      <w:bookmarkEnd w:id="17"/>
    </w:p>
    <w:tbl>
      <w:tblPr>
        <w:tblStyle w:val="TableGrid"/>
        <w:tblW w:w="0" w:type="auto"/>
        <w:tblLook w:val="04A0" w:firstRow="1" w:lastRow="0" w:firstColumn="1" w:lastColumn="0" w:noHBand="0" w:noVBand="1"/>
      </w:tblPr>
      <w:tblGrid>
        <w:gridCol w:w="9350"/>
      </w:tblGrid>
      <w:tr w:rsidR="007474D0" w14:paraId="3F8D3322" w14:textId="77777777" w:rsidTr="007474D0">
        <w:trPr>
          <w:trHeight w:val="1152"/>
        </w:trPr>
        <w:tc>
          <w:tcPr>
            <w:tcW w:w="9576" w:type="dxa"/>
            <w:shd w:val="clear" w:color="auto" w:fill="D9D9D9" w:themeFill="background1" w:themeFillShade="D9"/>
          </w:tcPr>
          <w:p w14:paraId="42AAF29F" w14:textId="77777777" w:rsidR="007474D0" w:rsidRDefault="007474D0" w:rsidP="00431E9B">
            <w:r>
              <w:t>The ETC will evaluate the responses to this RFI based on the vendor’s ability to:</w:t>
            </w:r>
          </w:p>
          <w:p w14:paraId="332AA2FE" w14:textId="4A8C97BE" w:rsidR="00034A4B" w:rsidRDefault="00034A4B" w:rsidP="00431E9B">
            <w:pPr>
              <w:pStyle w:val="ListParagraph"/>
              <w:numPr>
                <w:ilvl w:val="0"/>
                <w:numId w:val="5"/>
              </w:numPr>
            </w:pPr>
            <w:r w:rsidRPr="00034A4B">
              <w:t>Provide response</w:t>
            </w:r>
            <w:r w:rsidR="00DC3C16">
              <w:t>s</w:t>
            </w:r>
            <w:r w:rsidR="00DC3C16" w:rsidRPr="00034A4B">
              <w:t xml:space="preserve"> </w:t>
            </w:r>
            <w:r w:rsidR="00DC3C16">
              <w:t>reflecting a</w:t>
            </w:r>
            <w:r w:rsidRPr="00034A4B">
              <w:t xml:space="preserve"> desire to participate in collaboration.</w:t>
            </w:r>
          </w:p>
          <w:p w14:paraId="05BBACF7"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RFI as evidenced by the RFI response and presentations made to ETC</w:t>
            </w:r>
            <w:r w:rsidR="00951FA4">
              <w:t>.</w:t>
            </w:r>
          </w:p>
          <w:p w14:paraId="0BE7262C"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3DB0206E" w14:textId="273D09DD"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ETC in development of the</w:t>
            </w:r>
            <w:r w:rsidR="00D96561">
              <w:t xml:space="preserve"> </w:t>
            </w:r>
            <w:r w:rsidR="00FD0713" w:rsidRPr="00FD0713">
              <w:rPr>
                <w:color w:val="000000" w:themeColor="text1"/>
              </w:rPr>
              <w:t>Compact HPLC Instrument.</w:t>
            </w:r>
          </w:p>
          <w:p w14:paraId="28D8E983"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2483205B"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557D0DC3"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6C27D5D8" w14:textId="77777777" w:rsidR="00A45316" w:rsidRDefault="00A45316" w:rsidP="00122289">
            <w:pPr>
              <w:ind w:left="360"/>
            </w:pPr>
          </w:p>
          <w:p w14:paraId="5D707D8B" w14:textId="09009330" w:rsidR="002618B6" w:rsidRDefault="00015E1B" w:rsidP="00015E1B">
            <w:r>
              <w:t xml:space="preserve">The ETC will not provide individual feedback </w:t>
            </w:r>
            <w:r w:rsidR="00DC3C16">
              <w:t xml:space="preserve">directly </w:t>
            </w:r>
            <w:r>
              <w:t>to RFI respondents beyond the status of their proposal.</w:t>
            </w:r>
          </w:p>
        </w:tc>
      </w:tr>
    </w:tbl>
    <w:p w14:paraId="26EF7FF0" w14:textId="77777777" w:rsidR="003F73F1" w:rsidRPr="005B2898" w:rsidRDefault="0035165F" w:rsidP="001A2959">
      <w:pPr>
        <w:pStyle w:val="Heading1"/>
      </w:pPr>
      <w:bookmarkStart w:id="18" w:name="_Toc466624238"/>
      <w:r w:rsidRPr="005B2898">
        <w:t>Respondent</w:t>
      </w:r>
      <w:r w:rsidR="003F73F1" w:rsidRPr="005B2898">
        <w:t xml:space="preserve"> Profile</w:t>
      </w:r>
      <w:r w:rsidR="00E05D95">
        <w:t xml:space="preserve"> </w:t>
      </w:r>
      <w:r w:rsidR="00E05D95" w:rsidRPr="00E14D75">
        <w:rPr>
          <w:i/>
          <w:sz w:val="22"/>
        </w:rPr>
        <w:t>(to be completed by RFI respondent)</w:t>
      </w:r>
      <w:bookmarkEnd w:id="18"/>
    </w:p>
    <w:p w14:paraId="4D0BD2D5" w14:textId="77777777" w:rsidR="008A5A5E" w:rsidRDefault="008A5A5E" w:rsidP="0030651A">
      <w:pPr>
        <w:jc w:val="both"/>
      </w:pPr>
      <w:r>
        <w:t>Please provide information to the following:</w:t>
      </w:r>
    </w:p>
    <w:p w14:paraId="59A41B81" w14:textId="77777777" w:rsidR="008A5A5E" w:rsidRPr="005B2898" w:rsidRDefault="0035165F" w:rsidP="00612F49">
      <w:pPr>
        <w:pStyle w:val="Heading2"/>
      </w:pPr>
      <w:bookmarkStart w:id="19" w:name="_Toc466624239"/>
      <w:r w:rsidRPr="005B2898">
        <w:t xml:space="preserve">Company/Organization </w:t>
      </w:r>
      <w:r w:rsidR="008A5A5E" w:rsidRPr="005B2898">
        <w:t>Information</w:t>
      </w:r>
      <w:bookmarkEnd w:id="19"/>
    </w:p>
    <w:tbl>
      <w:tblPr>
        <w:tblStyle w:val="TableGrid"/>
        <w:tblW w:w="8478" w:type="dxa"/>
        <w:tblLook w:val="04A0" w:firstRow="1" w:lastRow="0" w:firstColumn="1" w:lastColumn="0" w:noHBand="0" w:noVBand="1"/>
      </w:tblPr>
      <w:tblGrid>
        <w:gridCol w:w="3348"/>
        <w:gridCol w:w="5130"/>
      </w:tblGrid>
      <w:tr w:rsidR="008A5A5E" w14:paraId="0A50A8F4" w14:textId="77777777" w:rsidTr="0035165F">
        <w:trPr>
          <w:trHeight w:val="432"/>
        </w:trPr>
        <w:tc>
          <w:tcPr>
            <w:tcW w:w="3348" w:type="dxa"/>
            <w:tcBorders>
              <w:top w:val="nil"/>
              <w:left w:val="nil"/>
              <w:bottom w:val="nil"/>
              <w:right w:val="single" w:sz="4" w:space="0" w:color="auto"/>
            </w:tcBorders>
            <w:vAlign w:val="center"/>
          </w:tcPr>
          <w:p w14:paraId="07C013CF"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6EC4ADE9" w14:textId="77777777" w:rsidR="008A5A5E" w:rsidRDefault="008A5A5E" w:rsidP="008A5A5E"/>
        </w:tc>
      </w:tr>
      <w:tr w:rsidR="008A5A5E" w14:paraId="1A991E0C" w14:textId="77777777" w:rsidTr="0035165F">
        <w:trPr>
          <w:trHeight w:val="432"/>
        </w:trPr>
        <w:tc>
          <w:tcPr>
            <w:tcW w:w="3348" w:type="dxa"/>
            <w:tcBorders>
              <w:top w:val="nil"/>
              <w:left w:val="nil"/>
              <w:bottom w:val="nil"/>
              <w:right w:val="single" w:sz="4" w:space="0" w:color="auto"/>
            </w:tcBorders>
            <w:vAlign w:val="center"/>
          </w:tcPr>
          <w:p w14:paraId="536E3BEE"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6FE0881" w14:textId="77777777" w:rsidR="008A5A5E" w:rsidRDefault="008A5A5E" w:rsidP="008A5A5E"/>
        </w:tc>
      </w:tr>
      <w:tr w:rsidR="008A5A5E" w14:paraId="5E7A010F" w14:textId="77777777" w:rsidTr="0035165F">
        <w:trPr>
          <w:trHeight w:val="432"/>
        </w:trPr>
        <w:tc>
          <w:tcPr>
            <w:tcW w:w="3348" w:type="dxa"/>
            <w:tcBorders>
              <w:top w:val="nil"/>
              <w:left w:val="nil"/>
              <w:bottom w:val="nil"/>
              <w:right w:val="single" w:sz="4" w:space="0" w:color="auto"/>
            </w:tcBorders>
            <w:vAlign w:val="center"/>
          </w:tcPr>
          <w:p w14:paraId="7F227C63"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690ACD7C" w14:textId="77777777" w:rsidR="008A5A5E" w:rsidRDefault="008A5A5E" w:rsidP="008A5A5E"/>
        </w:tc>
      </w:tr>
      <w:tr w:rsidR="008A5A5E" w14:paraId="03FA5F2B" w14:textId="77777777" w:rsidTr="0035165F">
        <w:trPr>
          <w:trHeight w:val="432"/>
        </w:trPr>
        <w:tc>
          <w:tcPr>
            <w:tcW w:w="3348" w:type="dxa"/>
            <w:tcBorders>
              <w:top w:val="nil"/>
              <w:left w:val="nil"/>
              <w:bottom w:val="nil"/>
              <w:right w:val="single" w:sz="4" w:space="0" w:color="auto"/>
            </w:tcBorders>
            <w:vAlign w:val="center"/>
          </w:tcPr>
          <w:p w14:paraId="098795B0"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3186305E" w14:textId="77777777" w:rsidR="008A5A5E" w:rsidRDefault="008A5A5E" w:rsidP="008A5A5E"/>
        </w:tc>
      </w:tr>
      <w:tr w:rsidR="008A5A5E" w14:paraId="5A4E514F" w14:textId="77777777" w:rsidTr="0035165F">
        <w:trPr>
          <w:trHeight w:val="432"/>
        </w:trPr>
        <w:tc>
          <w:tcPr>
            <w:tcW w:w="3348" w:type="dxa"/>
            <w:tcBorders>
              <w:top w:val="nil"/>
              <w:left w:val="nil"/>
              <w:bottom w:val="nil"/>
              <w:right w:val="single" w:sz="4" w:space="0" w:color="auto"/>
            </w:tcBorders>
            <w:vAlign w:val="center"/>
          </w:tcPr>
          <w:p w14:paraId="3721A001"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200426B9" w14:textId="77777777" w:rsidR="008A5A5E" w:rsidRDefault="008A5A5E" w:rsidP="008A5A5E"/>
        </w:tc>
      </w:tr>
      <w:tr w:rsidR="008A5A5E" w14:paraId="2DD0B641" w14:textId="77777777" w:rsidTr="0035165F">
        <w:trPr>
          <w:trHeight w:val="432"/>
        </w:trPr>
        <w:tc>
          <w:tcPr>
            <w:tcW w:w="3348" w:type="dxa"/>
            <w:tcBorders>
              <w:top w:val="nil"/>
              <w:left w:val="nil"/>
              <w:bottom w:val="nil"/>
              <w:right w:val="single" w:sz="4" w:space="0" w:color="auto"/>
            </w:tcBorders>
            <w:vAlign w:val="center"/>
          </w:tcPr>
          <w:p w14:paraId="09923631"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935BE42" w14:textId="77777777" w:rsidR="008A5A5E" w:rsidRDefault="008A5A5E" w:rsidP="008A5A5E"/>
        </w:tc>
      </w:tr>
      <w:tr w:rsidR="008A5A5E" w14:paraId="308AA1FC" w14:textId="77777777" w:rsidTr="0035165F">
        <w:trPr>
          <w:trHeight w:val="432"/>
        </w:trPr>
        <w:tc>
          <w:tcPr>
            <w:tcW w:w="3348" w:type="dxa"/>
            <w:tcBorders>
              <w:top w:val="nil"/>
              <w:left w:val="nil"/>
              <w:bottom w:val="nil"/>
              <w:right w:val="single" w:sz="4" w:space="0" w:color="auto"/>
            </w:tcBorders>
            <w:vAlign w:val="center"/>
          </w:tcPr>
          <w:p w14:paraId="3AECB202"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75BAC3" w14:textId="77777777" w:rsidR="008A5A5E" w:rsidRDefault="008A5A5E" w:rsidP="008A5A5E"/>
        </w:tc>
      </w:tr>
    </w:tbl>
    <w:p w14:paraId="5174FD8A" w14:textId="77777777" w:rsidR="008A5A5E" w:rsidRPr="008A5A5E" w:rsidRDefault="008A5A5E" w:rsidP="008A5A5E">
      <w:pPr>
        <w:ind w:left="567"/>
      </w:pPr>
    </w:p>
    <w:p w14:paraId="102F6B6E" w14:textId="77777777" w:rsidR="00FC061E" w:rsidRPr="005B2898" w:rsidRDefault="00DA08DA" w:rsidP="00612F49">
      <w:pPr>
        <w:pStyle w:val="Heading2"/>
      </w:pPr>
      <w:bookmarkStart w:id="20" w:name="_Toc466624240"/>
      <w:r w:rsidRPr="005B2898">
        <w:t>Primary Contact Person</w:t>
      </w:r>
      <w:bookmarkEnd w:id="20"/>
    </w:p>
    <w:tbl>
      <w:tblPr>
        <w:tblStyle w:val="TableGrid"/>
        <w:tblW w:w="0" w:type="auto"/>
        <w:tblLook w:val="04A0" w:firstRow="1" w:lastRow="0" w:firstColumn="1" w:lastColumn="0" w:noHBand="0" w:noVBand="1"/>
      </w:tblPr>
      <w:tblGrid>
        <w:gridCol w:w="3348"/>
        <w:gridCol w:w="5130"/>
      </w:tblGrid>
      <w:tr w:rsidR="00DA08DA" w14:paraId="0C88C976" w14:textId="77777777" w:rsidTr="0035165F">
        <w:trPr>
          <w:trHeight w:val="432"/>
        </w:trPr>
        <w:tc>
          <w:tcPr>
            <w:tcW w:w="3348" w:type="dxa"/>
            <w:tcBorders>
              <w:top w:val="nil"/>
              <w:left w:val="nil"/>
              <w:bottom w:val="nil"/>
              <w:right w:val="single" w:sz="4" w:space="0" w:color="auto"/>
            </w:tcBorders>
            <w:vAlign w:val="center"/>
          </w:tcPr>
          <w:p w14:paraId="06391BB4"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57E87978" w14:textId="77777777" w:rsidR="00DA08DA" w:rsidRDefault="00DA08DA" w:rsidP="00DA08DA"/>
        </w:tc>
      </w:tr>
      <w:tr w:rsidR="00DA08DA" w14:paraId="559CD522" w14:textId="77777777" w:rsidTr="0035165F">
        <w:trPr>
          <w:trHeight w:val="432"/>
        </w:trPr>
        <w:tc>
          <w:tcPr>
            <w:tcW w:w="3348" w:type="dxa"/>
            <w:tcBorders>
              <w:top w:val="nil"/>
              <w:left w:val="nil"/>
              <w:bottom w:val="nil"/>
              <w:right w:val="single" w:sz="4" w:space="0" w:color="auto"/>
            </w:tcBorders>
            <w:vAlign w:val="center"/>
          </w:tcPr>
          <w:p w14:paraId="76A577AD"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4ED1073" w14:textId="77777777" w:rsidR="00DA08DA" w:rsidRDefault="00DA08DA" w:rsidP="00DA08DA"/>
        </w:tc>
      </w:tr>
      <w:tr w:rsidR="00DA08DA" w14:paraId="69463B26" w14:textId="77777777" w:rsidTr="0035165F">
        <w:trPr>
          <w:trHeight w:val="432"/>
        </w:trPr>
        <w:tc>
          <w:tcPr>
            <w:tcW w:w="3348" w:type="dxa"/>
            <w:tcBorders>
              <w:top w:val="nil"/>
              <w:left w:val="nil"/>
              <w:bottom w:val="nil"/>
              <w:right w:val="single" w:sz="4" w:space="0" w:color="auto"/>
            </w:tcBorders>
            <w:vAlign w:val="center"/>
          </w:tcPr>
          <w:p w14:paraId="7CA94C85"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05E97BFD" w14:textId="77777777" w:rsidR="00DA08DA" w:rsidRDefault="00DA08DA" w:rsidP="00DA08DA"/>
        </w:tc>
      </w:tr>
      <w:tr w:rsidR="00DA08DA" w14:paraId="734302E5" w14:textId="77777777" w:rsidTr="0035165F">
        <w:trPr>
          <w:trHeight w:val="432"/>
        </w:trPr>
        <w:tc>
          <w:tcPr>
            <w:tcW w:w="3348" w:type="dxa"/>
            <w:tcBorders>
              <w:top w:val="nil"/>
              <w:left w:val="nil"/>
              <w:bottom w:val="nil"/>
              <w:right w:val="single" w:sz="4" w:space="0" w:color="auto"/>
            </w:tcBorders>
            <w:vAlign w:val="center"/>
          </w:tcPr>
          <w:p w14:paraId="465821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057AC1" w14:textId="77777777" w:rsidR="00DA08DA" w:rsidRDefault="00DA08DA" w:rsidP="00DA08DA"/>
        </w:tc>
      </w:tr>
    </w:tbl>
    <w:p w14:paraId="75F3443F" w14:textId="77777777" w:rsidR="00FC061E" w:rsidRPr="005B2898" w:rsidRDefault="0035165F" w:rsidP="00612F49">
      <w:pPr>
        <w:pStyle w:val="Heading2"/>
      </w:pPr>
      <w:bookmarkStart w:id="21" w:name="_Toc466624241"/>
      <w:r w:rsidRPr="005B2898">
        <w:t xml:space="preserve">Company/Organization </w:t>
      </w:r>
      <w:r w:rsidR="00DA08DA" w:rsidRPr="005B2898">
        <w:t>Overview</w:t>
      </w:r>
      <w:bookmarkEnd w:id="21"/>
    </w:p>
    <w:p w14:paraId="108E2A56"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38FAEC0D" w14:textId="77777777" w:rsidR="00D15344" w:rsidRDefault="00D15344"/>
    <w:tbl>
      <w:tblPr>
        <w:tblStyle w:val="TableGrid"/>
        <w:tblW w:w="0" w:type="auto"/>
        <w:tblLook w:val="04A0" w:firstRow="1" w:lastRow="0" w:firstColumn="1" w:lastColumn="0" w:noHBand="0" w:noVBand="1"/>
      </w:tblPr>
      <w:tblGrid>
        <w:gridCol w:w="9350"/>
      </w:tblGrid>
      <w:tr w:rsidR="00DA08DA" w14:paraId="577A4C6C" w14:textId="77777777" w:rsidTr="00FD0713">
        <w:trPr>
          <w:trHeight w:val="1430"/>
        </w:trPr>
        <w:tc>
          <w:tcPr>
            <w:tcW w:w="9576" w:type="dxa"/>
            <w:shd w:val="clear" w:color="auto" w:fill="D9D9D9" w:themeFill="background1" w:themeFillShade="D9"/>
          </w:tcPr>
          <w:p w14:paraId="0D3E7B27" w14:textId="77777777" w:rsidR="00DA08DA" w:rsidRDefault="00DA08DA" w:rsidP="00FC061E"/>
          <w:p w14:paraId="31074523" w14:textId="77777777" w:rsidR="00DA08DA" w:rsidRDefault="00DA08DA" w:rsidP="00FC061E"/>
          <w:p w14:paraId="7EF40B81" w14:textId="77777777" w:rsidR="00DA08DA" w:rsidRDefault="00DA08DA" w:rsidP="00FC061E"/>
          <w:p w14:paraId="736A521D" w14:textId="77777777" w:rsidR="00DA08DA" w:rsidRDefault="00DA08DA" w:rsidP="00FC061E"/>
          <w:p w14:paraId="50DD2549" w14:textId="77777777" w:rsidR="00DA08DA" w:rsidRDefault="00DA08DA" w:rsidP="00FC061E"/>
          <w:p w14:paraId="4EEC3A02" w14:textId="77777777" w:rsidR="00DA08DA" w:rsidRDefault="00DA08DA" w:rsidP="00FC061E"/>
        </w:tc>
      </w:tr>
    </w:tbl>
    <w:p w14:paraId="09D2A214" w14:textId="77777777" w:rsidR="00DA08DA" w:rsidRDefault="00DA08DA" w:rsidP="00FC061E"/>
    <w:p w14:paraId="70A0A0BF" w14:textId="77777777" w:rsidR="00DA08DA" w:rsidRPr="005B2898" w:rsidRDefault="00DA08DA" w:rsidP="00612F49">
      <w:pPr>
        <w:pStyle w:val="Heading2"/>
      </w:pPr>
      <w:bookmarkStart w:id="22" w:name="_Toc466624242"/>
      <w:r w:rsidRPr="005B2898">
        <w:t xml:space="preserve">Parent Corporation and/or </w:t>
      </w:r>
      <w:r w:rsidR="002E185B" w:rsidRPr="005B2898">
        <w:t>S</w:t>
      </w:r>
      <w:r w:rsidRPr="005B2898">
        <w:t>ubsidiaries</w:t>
      </w:r>
      <w:bookmarkEnd w:id="22"/>
    </w:p>
    <w:p w14:paraId="5D43A42A"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0DCCE3F7" w14:textId="77777777" w:rsidTr="00FD0713">
        <w:trPr>
          <w:trHeight w:val="1574"/>
        </w:trPr>
        <w:tc>
          <w:tcPr>
            <w:tcW w:w="9576" w:type="dxa"/>
            <w:shd w:val="clear" w:color="auto" w:fill="D9D9D9" w:themeFill="background1" w:themeFillShade="D9"/>
          </w:tcPr>
          <w:p w14:paraId="06FDC4F0" w14:textId="77777777" w:rsidR="00DA08DA" w:rsidRDefault="00DA08DA" w:rsidP="00DA08DA"/>
          <w:p w14:paraId="5078F152" w14:textId="77777777" w:rsidR="00DA08DA" w:rsidRDefault="00DA08DA" w:rsidP="00DA08DA"/>
          <w:p w14:paraId="4ACEB13A" w14:textId="77777777" w:rsidR="00DA08DA" w:rsidRDefault="00DA08DA" w:rsidP="00DA08DA"/>
          <w:p w14:paraId="7671E11F" w14:textId="77777777" w:rsidR="00DA08DA" w:rsidRDefault="00DA08DA" w:rsidP="00DA08DA"/>
          <w:p w14:paraId="09D6676A" w14:textId="77777777" w:rsidR="00DA08DA" w:rsidRDefault="00DA08DA" w:rsidP="00DA08DA"/>
          <w:p w14:paraId="0149F872" w14:textId="77777777" w:rsidR="00DA08DA" w:rsidRDefault="00DA08DA" w:rsidP="00DA08DA"/>
        </w:tc>
      </w:tr>
    </w:tbl>
    <w:p w14:paraId="08523734" w14:textId="77777777" w:rsidR="00DA08DA" w:rsidRDefault="00DA08DA" w:rsidP="00DA08DA"/>
    <w:p w14:paraId="551C74E8" w14:textId="77777777" w:rsidR="00FC061E" w:rsidRPr="005B2898" w:rsidRDefault="002E185B" w:rsidP="00612F49">
      <w:pPr>
        <w:pStyle w:val="Heading2"/>
      </w:pPr>
      <w:bookmarkStart w:id="23" w:name="_Toc466624243"/>
      <w:r w:rsidRPr="005B2898">
        <w:t>Summary of Expertise</w:t>
      </w:r>
      <w:bookmarkEnd w:id="23"/>
    </w:p>
    <w:p w14:paraId="3FBDD484"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299C3705" w14:textId="77777777" w:rsidTr="00FD0713">
        <w:trPr>
          <w:trHeight w:val="1592"/>
        </w:trPr>
        <w:tc>
          <w:tcPr>
            <w:tcW w:w="9576" w:type="dxa"/>
            <w:shd w:val="clear" w:color="auto" w:fill="D9D9D9" w:themeFill="background1" w:themeFillShade="D9"/>
          </w:tcPr>
          <w:p w14:paraId="708EA138" w14:textId="77777777" w:rsidR="002E185B" w:rsidRDefault="002E185B" w:rsidP="002E185B"/>
          <w:p w14:paraId="2ACBD64F" w14:textId="77777777" w:rsidR="002E185B" w:rsidRDefault="002E185B" w:rsidP="002E185B"/>
          <w:p w14:paraId="68E95D01" w14:textId="77777777" w:rsidR="002E185B" w:rsidRDefault="002E185B" w:rsidP="002E185B"/>
          <w:p w14:paraId="5BA1D411" w14:textId="77777777" w:rsidR="002E185B" w:rsidRDefault="002E185B" w:rsidP="002E185B"/>
          <w:p w14:paraId="6A516ECF" w14:textId="77777777" w:rsidR="002E185B" w:rsidRDefault="002E185B" w:rsidP="002E185B"/>
          <w:p w14:paraId="5114E4D9" w14:textId="77777777" w:rsidR="002E185B" w:rsidRDefault="002E185B" w:rsidP="002E185B"/>
        </w:tc>
      </w:tr>
    </w:tbl>
    <w:p w14:paraId="68F77AA7" w14:textId="77777777" w:rsidR="002E185B" w:rsidRDefault="002E185B" w:rsidP="002E185B"/>
    <w:p w14:paraId="79294F93" w14:textId="77777777" w:rsidR="002E185B" w:rsidRPr="005B2898" w:rsidRDefault="00653E75" w:rsidP="00612F49">
      <w:pPr>
        <w:pStyle w:val="Heading2"/>
      </w:pPr>
      <w:bookmarkStart w:id="24" w:name="_Toc466624244"/>
      <w:r w:rsidRPr="005B2898">
        <w:t xml:space="preserve">Standards </w:t>
      </w:r>
      <w:r w:rsidR="002E185B" w:rsidRPr="005B2898">
        <w:t>Certifications</w:t>
      </w:r>
      <w:bookmarkEnd w:id="24"/>
    </w:p>
    <w:p w14:paraId="40DEC4B8"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13B9020D" w14:textId="77777777" w:rsidTr="00FD0713">
        <w:trPr>
          <w:trHeight w:val="278"/>
        </w:trPr>
        <w:tc>
          <w:tcPr>
            <w:tcW w:w="9576" w:type="dxa"/>
            <w:shd w:val="clear" w:color="auto" w:fill="D9D9D9" w:themeFill="background1" w:themeFillShade="D9"/>
          </w:tcPr>
          <w:p w14:paraId="3D2DACAC" w14:textId="77777777" w:rsidR="00653E75" w:rsidRDefault="00653E75" w:rsidP="00653E75"/>
          <w:p w14:paraId="1C46168E" w14:textId="77777777" w:rsidR="00653E75" w:rsidRDefault="00653E75" w:rsidP="00653E75"/>
          <w:p w14:paraId="47DC17C8" w14:textId="77777777" w:rsidR="00653E75" w:rsidRDefault="00653E75" w:rsidP="00653E75"/>
          <w:p w14:paraId="61893776" w14:textId="77777777" w:rsidR="00653E75" w:rsidRDefault="00653E75" w:rsidP="00653E75"/>
          <w:p w14:paraId="6821819B" w14:textId="77777777" w:rsidR="00653E75" w:rsidRDefault="00653E75" w:rsidP="00653E75"/>
          <w:p w14:paraId="68760C0B" w14:textId="77777777" w:rsidR="00653E75" w:rsidRDefault="00653E75" w:rsidP="00653E75"/>
        </w:tc>
      </w:tr>
    </w:tbl>
    <w:p w14:paraId="3B907075" w14:textId="77777777" w:rsidR="00653E75" w:rsidRDefault="00653E75" w:rsidP="00653E75"/>
    <w:p w14:paraId="2F371A23" w14:textId="77777777" w:rsidR="00FC061E" w:rsidRPr="005B2898" w:rsidRDefault="00653E75" w:rsidP="00612F49">
      <w:pPr>
        <w:pStyle w:val="Heading2"/>
      </w:pPr>
      <w:bookmarkStart w:id="25" w:name="_Toc466624245"/>
      <w:r w:rsidRPr="005B2898">
        <w:t>Goals and Strategic Vision</w:t>
      </w:r>
      <w:bookmarkEnd w:id="25"/>
    </w:p>
    <w:p w14:paraId="6FF27E30" w14:textId="2618B4AE" w:rsidR="00FC061E" w:rsidRDefault="00FC061E" w:rsidP="0030651A">
      <w:pPr>
        <w:spacing w:after="120"/>
        <w:jc w:val="both"/>
      </w:pPr>
      <w:r>
        <w:t xml:space="preserve">Provide a summary of your </w:t>
      </w:r>
      <w:r w:rsidR="0018268D">
        <w:t>company/organization</w:t>
      </w:r>
      <w:r>
        <w:t>’s short term and long</w:t>
      </w:r>
      <w:r w:rsidR="00356971">
        <w:t>-</w:t>
      </w:r>
      <w:r>
        <w:t>term goals and strategic vision.</w:t>
      </w:r>
    </w:p>
    <w:tbl>
      <w:tblPr>
        <w:tblStyle w:val="TableGrid"/>
        <w:tblW w:w="0" w:type="auto"/>
        <w:tblLook w:val="04A0" w:firstRow="1" w:lastRow="0" w:firstColumn="1" w:lastColumn="0" w:noHBand="0" w:noVBand="1"/>
      </w:tblPr>
      <w:tblGrid>
        <w:gridCol w:w="9350"/>
      </w:tblGrid>
      <w:tr w:rsidR="004E0D46" w14:paraId="4DE32BA6" w14:textId="77777777" w:rsidTr="006B3E7A">
        <w:tc>
          <w:tcPr>
            <w:tcW w:w="9576" w:type="dxa"/>
            <w:shd w:val="clear" w:color="auto" w:fill="D9D9D9" w:themeFill="background1" w:themeFillShade="D9"/>
          </w:tcPr>
          <w:p w14:paraId="44DFF099" w14:textId="77777777" w:rsidR="004E0D46" w:rsidRDefault="004E0D46" w:rsidP="006B3E7A"/>
          <w:p w14:paraId="5E1DEC7B" w14:textId="77777777" w:rsidR="004E0D46" w:rsidRDefault="004E0D46" w:rsidP="006B3E7A"/>
          <w:p w14:paraId="3D060ECA" w14:textId="77777777" w:rsidR="004E0D46" w:rsidRDefault="004E0D46" w:rsidP="006B3E7A"/>
          <w:p w14:paraId="2C7228A3" w14:textId="77777777" w:rsidR="004E0D46" w:rsidRDefault="004E0D46" w:rsidP="006B3E7A"/>
          <w:p w14:paraId="328DB31B" w14:textId="77777777" w:rsidR="004E0D46" w:rsidRDefault="004E0D46" w:rsidP="006B3E7A"/>
          <w:p w14:paraId="011CEE00" w14:textId="77777777" w:rsidR="004E0D46" w:rsidRDefault="004E0D46" w:rsidP="006B3E7A"/>
        </w:tc>
      </w:tr>
    </w:tbl>
    <w:p w14:paraId="1F0E5B3F" w14:textId="77777777" w:rsidR="004E0D46" w:rsidRDefault="004E0D46" w:rsidP="004E0D46"/>
    <w:p w14:paraId="04CF39F6" w14:textId="77777777" w:rsidR="004E0D46" w:rsidRPr="005B2898" w:rsidRDefault="004E0D46" w:rsidP="00612F49">
      <w:pPr>
        <w:pStyle w:val="Heading2"/>
      </w:pPr>
      <w:bookmarkStart w:id="26" w:name="_Toc466624246"/>
      <w:r w:rsidRPr="005B2898">
        <w:t>Miscellaneous</w:t>
      </w:r>
      <w:bookmarkEnd w:id="26"/>
    </w:p>
    <w:p w14:paraId="1CEF3D14"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5F4881F" w14:textId="77777777" w:rsidTr="006B3E7A">
        <w:tc>
          <w:tcPr>
            <w:tcW w:w="9576" w:type="dxa"/>
            <w:shd w:val="clear" w:color="auto" w:fill="D9D9D9" w:themeFill="background1" w:themeFillShade="D9"/>
          </w:tcPr>
          <w:p w14:paraId="2106F046" w14:textId="77777777" w:rsidR="004E0D46" w:rsidRDefault="004E0D46" w:rsidP="006B3E7A"/>
          <w:p w14:paraId="223C7643" w14:textId="77777777" w:rsidR="004E0D46" w:rsidRDefault="004E0D46" w:rsidP="006B3E7A"/>
          <w:p w14:paraId="0491B119" w14:textId="77777777" w:rsidR="004E0D46" w:rsidRDefault="004E0D46" w:rsidP="006B3E7A"/>
          <w:p w14:paraId="6443CDDE" w14:textId="77777777" w:rsidR="004E0D46" w:rsidRDefault="004E0D46" w:rsidP="006B3E7A"/>
          <w:p w14:paraId="183DA9EC" w14:textId="77777777" w:rsidR="004E0D46" w:rsidRDefault="004E0D46" w:rsidP="006B3E7A"/>
          <w:p w14:paraId="10AC8845" w14:textId="77777777" w:rsidR="004E0D46" w:rsidRDefault="004E0D46" w:rsidP="006B3E7A"/>
        </w:tc>
      </w:tr>
    </w:tbl>
    <w:p w14:paraId="5116EAEC" w14:textId="77777777" w:rsidR="00431E9B" w:rsidRDefault="00431E9B" w:rsidP="00431E9B">
      <w:pPr>
        <w:pStyle w:val="Heading1"/>
        <w:numPr>
          <w:ilvl w:val="0"/>
          <w:numId w:val="0"/>
        </w:numPr>
        <w:ind w:left="432" w:hanging="432"/>
      </w:pPr>
    </w:p>
    <w:p w14:paraId="773F3B85" w14:textId="77777777" w:rsidR="00431E9B" w:rsidRDefault="00431E9B" w:rsidP="00431E9B">
      <w:pPr>
        <w:rPr>
          <w:rFonts w:eastAsia="Times New Roman" w:cs="Times New Roman"/>
          <w:sz w:val="32"/>
          <w:szCs w:val="28"/>
        </w:rPr>
      </w:pPr>
      <w:r>
        <w:br w:type="page"/>
      </w:r>
    </w:p>
    <w:p w14:paraId="4FDB4AB6" w14:textId="77777777" w:rsidR="003F73F1" w:rsidRPr="00E14D75" w:rsidRDefault="0018268D" w:rsidP="001A2959">
      <w:pPr>
        <w:pStyle w:val="Heading1"/>
        <w:rPr>
          <w:sz w:val="28"/>
        </w:rPr>
      </w:pPr>
      <w:bookmarkStart w:id="27" w:name="_Toc466624247"/>
      <w:r w:rsidRPr="005B2898">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27"/>
    </w:p>
    <w:p w14:paraId="2ACE0973" w14:textId="77777777" w:rsidR="000C4D5F" w:rsidRPr="005B2898" w:rsidRDefault="00F3211C" w:rsidP="00612F49">
      <w:pPr>
        <w:pStyle w:val="Heading2"/>
      </w:pPr>
      <w:bookmarkStart w:id="28" w:name="_Toc466624248"/>
      <w:r w:rsidRPr="005B2898">
        <w:t>Proposal</w:t>
      </w:r>
      <w:bookmarkEnd w:id="28"/>
    </w:p>
    <w:tbl>
      <w:tblPr>
        <w:tblStyle w:val="TableGrid"/>
        <w:tblW w:w="0" w:type="auto"/>
        <w:tblLook w:val="04A0" w:firstRow="1" w:lastRow="0" w:firstColumn="1" w:lastColumn="0" w:noHBand="0" w:noVBand="1"/>
      </w:tblPr>
      <w:tblGrid>
        <w:gridCol w:w="9350"/>
      </w:tblGrid>
      <w:tr w:rsidR="007474D0" w14:paraId="5B52544D" w14:textId="77777777" w:rsidTr="00E831D9">
        <w:trPr>
          <w:trHeight w:val="1872"/>
        </w:trPr>
        <w:tc>
          <w:tcPr>
            <w:tcW w:w="9576" w:type="dxa"/>
            <w:shd w:val="clear" w:color="auto" w:fill="D9D9D9" w:themeFill="background1" w:themeFillShade="D9"/>
          </w:tcPr>
          <w:p w14:paraId="3D4D58BE" w14:textId="77777777" w:rsidR="007474D0" w:rsidRDefault="007474D0" w:rsidP="007474D0"/>
        </w:tc>
      </w:tr>
    </w:tbl>
    <w:p w14:paraId="007901AB" w14:textId="77777777" w:rsidR="007474D0" w:rsidRPr="00530F7B" w:rsidRDefault="007474D0" w:rsidP="007474D0"/>
    <w:p w14:paraId="3D419B9E" w14:textId="77777777" w:rsidR="00C35FF3" w:rsidRPr="005B2898" w:rsidRDefault="00C35FF3" w:rsidP="00612F49">
      <w:pPr>
        <w:pStyle w:val="Heading2"/>
      </w:pPr>
      <w:bookmarkStart w:id="29" w:name="_Toc466624249"/>
      <w:r w:rsidRPr="005B2898">
        <w:t>Functional Requirements &amp; Specifications</w:t>
      </w:r>
      <w:bookmarkEnd w:id="29"/>
    </w:p>
    <w:p w14:paraId="18FBD378" w14:textId="46CC9EA9" w:rsidR="00DA610B" w:rsidRDefault="00C35FF3" w:rsidP="0030651A">
      <w:pPr>
        <w:jc w:val="both"/>
      </w:pPr>
      <w:r>
        <w:t xml:space="preserve">Refer to the Functional Requirements and Specifications checklist </w:t>
      </w:r>
      <w:r w:rsidR="00DC3C16">
        <w:t xml:space="preserve">below, </w:t>
      </w:r>
      <w:r>
        <w:t xml:space="preserve">which summarizes the collective requirements and specifications by the member companies participating in the project.  </w:t>
      </w:r>
    </w:p>
    <w:p w14:paraId="0FEC6416" w14:textId="77777777" w:rsidR="00DA610B" w:rsidRDefault="00DA610B" w:rsidP="0030651A">
      <w:pPr>
        <w:jc w:val="both"/>
      </w:pPr>
    </w:p>
    <w:p w14:paraId="7AC84A06"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09A52379" w14:textId="77777777" w:rsidTr="00FD7C48">
        <w:tc>
          <w:tcPr>
            <w:tcW w:w="497" w:type="dxa"/>
          </w:tcPr>
          <w:p w14:paraId="70CCC48F" w14:textId="77777777" w:rsidR="00C35FF3" w:rsidRDefault="00780876" w:rsidP="00C35FF3">
            <w:r>
              <w:t>A</w:t>
            </w:r>
          </w:p>
        </w:tc>
        <w:tc>
          <w:tcPr>
            <w:tcW w:w="6181" w:type="dxa"/>
          </w:tcPr>
          <w:p w14:paraId="7A9D8FDE" w14:textId="77777777" w:rsidR="00C35FF3" w:rsidRDefault="00DA610B" w:rsidP="00C35FF3">
            <w:r>
              <w:t>Current capability</w:t>
            </w:r>
            <w:r w:rsidR="00863A8B">
              <w:t xml:space="preserve"> of existing product</w:t>
            </w:r>
          </w:p>
        </w:tc>
      </w:tr>
      <w:tr w:rsidR="00C35FF3" w14:paraId="47E8D599" w14:textId="77777777" w:rsidTr="00FD7C48">
        <w:tc>
          <w:tcPr>
            <w:tcW w:w="497" w:type="dxa"/>
          </w:tcPr>
          <w:p w14:paraId="1F4E9B1F" w14:textId="77777777" w:rsidR="00C35FF3" w:rsidRDefault="00780876" w:rsidP="00C35FF3">
            <w:r>
              <w:t>B</w:t>
            </w:r>
          </w:p>
        </w:tc>
        <w:tc>
          <w:tcPr>
            <w:tcW w:w="6181" w:type="dxa"/>
          </w:tcPr>
          <w:p w14:paraId="25A1B6A6" w14:textId="77777777" w:rsidR="00C35FF3" w:rsidRDefault="003B3BD9" w:rsidP="003B3BD9">
            <w:r>
              <w:t>Able to add capability as requested</w:t>
            </w:r>
          </w:p>
        </w:tc>
      </w:tr>
      <w:tr w:rsidR="00780876" w14:paraId="18F2B56E" w14:textId="77777777" w:rsidTr="00FD7C48">
        <w:tc>
          <w:tcPr>
            <w:tcW w:w="497" w:type="dxa"/>
          </w:tcPr>
          <w:p w14:paraId="4A571983" w14:textId="77777777" w:rsidR="00780876" w:rsidRDefault="00780876" w:rsidP="00C35FF3">
            <w:r>
              <w:t>C</w:t>
            </w:r>
          </w:p>
        </w:tc>
        <w:tc>
          <w:tcPr>
            <w:tcW w:w="6181" w:type="dxa"/>
          </w:tcPr>
          <w:p w14:paraId="0A7A82A5" w14:textId="77777777" w:rsidR="00780876" w:rsidRDefault="003B3BD9" w:rsidP="00C35FF3">
            <w:r>
              <w:t xml:space="preserve">Able to add capability with modification to </w:t>
            </w:r>
            <w:r w:rsidR="00BB38B5">
              <w:t xml:space="preserve">ETC </w:t>
            </w:r>
            <w:r>
              <w:t>request</w:t>
            </w:r>
          </w:p>
        </w:tc>
      </w:tr>
      <w:tr w:rsidR="003B3BD9" w14:paraId="4FA5AE9B" w14:textId="77777777" w:rsidTr="00FD7C48">
        <w:tc>
          <w:tcPr>
            <w:tcW w:w="497" w:type="dxa"/>
          </w:tcPr>
          <w:p w14:paraId="32270D5C" w14:textId="77777777" w:rsidR="003B3BD9" w:rsidRDefault="003B3BD9" w:rsidP="00C35FF3">
            <w:r>
              <w:t>D</w:t>
            </w:r>
          </w:p>
        </w:tc>
        <w:tc>
          <w:tcPr>
            <w:tcW w:w="6181" w:type="dxa"/>
          </w:tcPr>
          <w:p w14:paraId="1F385871" w14:textId="77777777" w:rsidR="003B3BD9" w:rsidRDefault="003B3BD9" w:rsidP="00C35FF3">
            <w:r>
              <w:t>Unable to add capability</w:t>
            </w:r>
          </w:p>
        </w:tc>
      </w:tr>
    </w:tbl>
    <w:p w14:paraId="22285C0F" w14:textId="77777777" w:rsidR="00C35FF3" w:rsidRDefault="00C35FF3" w:rsidP="00C35FF3"/>
    <w:tbl>
      <w:tblPr>
        <w:tblStyle w:val="TableGrid"/>
        <w:tblW w:w="9481" w:type="dxa"/>
        <w:tblLook w:val="04A0" w:firstRow="1" w:lastRow="0" w:firstColumn="1" w:lastColumn="0" w:noHBand="0" w:noVBand="1"/>
      </w:tblPr>
      <w:tblGrid>
        <w:gridCol w:w="1180"/>
        <w:gridCol w:w="3906"/>
        <w:gridCol w:w="760"/>
        <w:gridCol w:w="3635"/>
      </w:tblGrid>
      <w:tr w:rsidR="006C64D0" w:rsidRPr="006C64D0" w14:paraId="3820C51D" w14:textId="77777777" w:rsidTr="00C34E39">
        <w:tc>
          <w:tcPr>
            <w:tcW w:w="1180" w:type="dxa"/>
            <w:tcBorders>
              <w:bottom w:val="single" w:sz="4" w:space="0" w:color="auto"/>
            </w:tcBorders>
            <w:shd w:val="clear" w:color="auto" w:fill="E36C0A" w:themeFill="accent6" w:themeFillShade="BF"/>
          </w:tcPr>
          <w:p w14:paraId="01606692" w14:textId="77777777" w:rsidR="00780876" w:rsidRPr="006C64D0" w:rsidRDefault="00780876" w:rsidP="003B3BD9">
            <w:pPr>
              <w:jc w:val="center"/>
              <w:rPr>
                <w:color w:val="FFFFFF" w:themeColor="background1"/>
              </w:rPr>
            </w:pPr>
            <w:r w:rsidRPr="006C64D0">
              <w:rPr>
                <w:color w:val="FFFFFF" w:themeColor="background1"/>
              </w:rPr>
              <w:t>Feature</w:t>
            </w:r>
          </w:p>
        </w:tc>
        <w:tc>
          <w:tcPr>
            <w:tcW w:w="3906" w:type="dxa"/>
            <w:tcBorders>
              <w:bottom w:val="single" w:sz="4" w:space="0" w:color="auto"/>
            </w:tcBorders>
            <w:shd w:val="clear" w:color="auto" w:fill="E36C0A" w:themeFill="accent6" w:themeFillShade="BF"/>
          </w:tcPr>
          <w:p w14:paraId="6A4BAE93"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0" w:type="dxa"/>
            <w:tcBorders>
              <w:bottom w:val="single" w:sz="4" w:space="0" w:color="auto"/>
            </w:tcBorders>
            <w:shd w:val="clear" w:color="auto" w:fill="E36C0A" w:themeFill="accent6" w:themeFillShade="BF"/>
          </w:tcPr>
          <w:p w14:paraId="74753ECD" w14:textId="77777777" w:rsidR="00780876" w:rsidRPr="006C64D0" w:rsidRDefault="003B3BD9" w:rsidP="003B3BD9">
            <w:pPr>
              <w:jc w:val="center"/>
              <w:rPr>
                <w:color w:val="FFFFFF" w:themeColor="background1"/>
              </w:rPr>
            </w:pPr>
            <w:r w:rsidRPr="006C64D0">
              <w:rPr>
                <w:color w:val="FFFFFF" w:themeColor="background1"/>
              </w:rPr>
              <w:t>Code</w:t>
            </w:r>
          </w:p>
        </w:tc>
        <w:tc>
          <w:tcPr>
            <w:tcW w:w="3635" w:type="dxa"/>
            <w:tcBorders>
              <w:bottom w:val="single" w:sz="4" w:space="0" w:color="auto"/>
            </w:tcBorders>
            <w:shd w:val="clear" w:color="auto" w:fill="E36C0A" w:themeFill="accent6" w:themeFillShade="BF"/>
          </w:tcPr>
          <w:p w14:paraId="50F73E60"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C34E39" w14:paraId="3963CCD1" w14:textId="77777777" w:rsidTr="00C34E39">
        <w:trPr>
          <w:trHeight w:val="720"/>
        </w:trPr>
        <w:tc>
          <w:tcPr>
            <w:tcW w:w="1180" w:type="dxa"/>
            <w:tcBorders>
              <w:top w:val="single" w:sz="4" w:space="0" w:color="auto"/>
              <w:left w:val="single" w:sz="4" w:space="0" w:color="auto"/>
              <w:bottom w:val="single" w:sz="4" w:space="0" w:color="auto"/>
              <w:right w:val="single" w:sz="4" w:space="0" w:color="auto"/>
            </w:tcBorders>
          </w:tcPr>
          <w:p w14:paraId="383ACBFF" w14:textId="39D25F11" w:rsidR="00C34E39" w:rsidRDefault="00C34E39" w:rsidP="00C34E39">
            <w:pPr>
              <w:jc w:val="right"/>
            </w:pPr>
            <w:r>
              <w:t>Hardware</w:t>
            </w:r>
          </w:p>
        </w:tc>
        <w:tc>
          <w:tcPr>
            <w:tcW w:w="3906" w:type="dxa"/>
            <w:tcBorders>
              <w:top w:val="single" w:sz="4" w:space="0" w:color="auto"/>
              <w:left w:val="single" w:sz="4" w:space="0" w:color="auto"/>
              <w:bottom w:val="single" w:sz="4" w:space="0" w:color="auto"/>
              <w:right w:val="single" w:sz="4" w:space="0" w:color="auto"/>
            </w:tcBorders>
          </w:tcPr>
          <w:p w14:paraId="42B0CAFB" w14:textId="3B6B3641" w:rsidR="00C34E39" w:rsidRDefault="00C34E39" w:rsidP="00C34E39">
            <w:r w:rsidRPr="00FC34E9">
              <w:t>A complete chromatographic system with dimensions on the order of 16” x 14” x 18” (W x H x D) for easy transport and operation within standard laboratory laminar flow hoods.</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4C1" w14:textId="77777777" w:rsidR="00C34E39" w:rsidRDefault="00C34E39" w:rsidP="00C34E39"/>
        </w:tc>
        <w:tc>
          <w:tcPr>
            <w:tcW w:w="3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9B43A" w14:textId="77777777" w:rsidR="00C34E39" w:rsidRDefault="00C34E39" w:rsidP="00C34E39"/>
        </w:tc>
      </w:tr>
      <w:tr w:rsidR="00C34E39" w14:paraId="47D3454E" w14:textId="77777777" w:rsidTr="00C34E39">
        <w:trPr>
          <w:trHeight w:val="720"/>
        </w:trPr>
        <w:tc>
          <w:tcPr>
            <w:tcW w:w="1180" w:type="dxa"/>
            <w:tcBorders>
              <w:top w:val="single" w:sz="4" w:space="0" w:color="auto"/>
              <w:left w:val="single" w:sz="4" w:space="0" w:color="auto"/>
              <w:bottom w:val="single" w:sz="4" w:space="0" w:color="auto"/>
              <w:right w:val="single" w:sz="4" w:space="0" w:color="auto"/>
            </w:tcBorders>
          </w:tcPr>
          <w:p w14:paraId="2D1D47C0" w14:textId="1D2CB72A" w:rsidR="00C34E39" w:rsidRDefault="00C34E39" w:rsidP="00C34E39">
            <w:pPr>
              <w:jc w:val="right"/>
            </w:pPr>
            <w:r>
              <w:t>Hardware</w:t>
            </w:r>
          </w:p>
        </w:tc>
        <w:tc>
          <w:tcPr>
            <w:tcW w:w="3906" w:type="dxa"/>
            <w:tcBorders>
              <w:top w:val="single" w:sz="4" w:space="0" w:color="auto"/>
              <w:left w:val="single" w:sz="4" w:space="0" w:color="auto"/>
              <w:bottom w:val="single" w:sz="4" w:space="0" w:color="auto"/>
              <w:right w:val="single" w:sz="4" w:space="0" w:color="auto"/>
            </w:tcBorders>
          </w:tcPr>
          <w:p w14:paraId="57566964" w14:textId="1B0D2D23" w:rsidR="00C34E39" w:rsidRDefault="00C34E39" w:rsidP="00C34E39">
            <w:r w:rsidRPr="00FC34E9">
              <w:rPr>
                <w:rFonts w:eastAsia="Times New Roman" w:cs="Times New Roman"/>
                <w:bCs/>
                <w:szCs w:val="28"/>
              </w:rPr>
              <w:t>Performance (e.g. resolution, sensitivity, analysis time) comparable to conventional bench top HPLC systems is required. A demonstration of limit of detection (LOD) approaching that of a conventional benchtop unit using a model compound is desired.</w:t>
            </w:r>
          </w:p>
        </w:tc>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5F699" w14:textId="77777777" w:rsidR="00C34E39" w:rsidRDefault="00C34E39" w:rsidP="00C34E39"/>
        </w:tc>
        <w:tc>
          <w:tcPr>
            <w:tcW w:w="3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21A2E" w14:textId="77777777" w:rsidR="00C34E39" w:rsidRDefault="00C34E39" w:rsidP="00C34E39"/>
        </w:tc>
      </w:tr>
      <w:tr w:rsidR="00C34E39" w14:paraId="3ED8F96E" w14:textId="77777777" w:rsidTr="00C34E39">
        <w:trPr>
          <w:trHeight w:val="720"/>
        </w:trPr>
        <w:tc>
          <w:tcPr>
            <w:tcW w:w="1180" w:type="dxa"/>
            <w:tcBorders>
              <w:top w:val="single" w:sz="4" w:space="0" w:color="auto"/>
            </w:tcBorders>
          </w:tcPr>
          <w:p w14:paraId="5C36B403" w14:textId="432BDA18" w:rsidR="00C34E39" w:rsidRDefault="00C34E39" w:rsidP="00C34E39">
            <w:pPr>
              <w:jc w:val="right"/>
            </w:pPr>
            <w:r>
              <w:t>Hardware</w:t>
            </w:r>
          </w:p>
        </w:tc>
        <w:tc>
          <w:tcPr>
            <w:tcW w:w="3906" w:type="dxa"/>
            <w:tcBorders>
              <w:top w:val="single" w:sz="4" w:space="0" w:color="auto"/>
            </w:tcBorders>
          </w:tcPr>
          <w:p w14:paraId="39A4C60F" w14:textId="6389632A" w:rsidR="00C34E39" w:rsidRDefault="00C34E39" w:rsidP="00C34E39">
            <w:r w:rsidRPr="00FC34E9">
              <w:t>The instrument and accessories should be powered by a single electrical service (110V/15A or 220V). Battery power is desirable for some applications, but not a requirement.</w:t>
            </w:r>
          </w:p>
        </w:tc>
        <w:tc>
          <w:tcPr>
            <w:tcW w:w="760" w:type="dxa"/>
            <w:tcBorders>
              <w:top w:val="single" w:sz="4" w:space="0" w:color="auto"/>
            </w:tcBorders>
            <w:shd w:val="clear" w:color="auto" w:fill="D9D9D9" w:themeFill="background1" w:themeFillShade="D9"/>
          </w:tcPr>
          <w:p w14:paraId="014F07AB" w14:textId="77777777" w:rsidR="00C34E39" w:rsidRDefault="00C34E39" w:rsidP="00C34E39"/>
        </w:tc>
        <w:tc>
          <w:tcPr>
            <w:tcW w:w="3635" w:type="dxa"/>
            <w:tcBorders>
              <w:top w:val="single" w:sz="4" w:space="0" w:color="auto"/>
            </w:tcBorders>
            <w:shd w:val="clear" w:color="auto" w:fill="D9D9D9" w:themeFill="background1" w:themeFillShade="D9"/>
          </w:tcPr>
          <w:p w14:paraId="4FE5D2E8" w14:textId="77777777" w:rsidR="00C34E39" w:rsidRDefault="00C34E39" w:rsidP="00C34E39"/>
        </w:tc>
      </w:tr>
      <w:tr w:rsidR="00C34E39" w14:paraId="451AB48C" w14:textId="77777777" w:rsidTr="00C34E39">
        <w:trPr>
          <w:trHeight w:val="720"/>
        </w:trPr>
        <w:tc>
          <w:tcPr>
            <w:tcW w:w="1180" w:type="dxa"/>
          </w:tcPr>
          <w:p w14:paraId="24E5CC86" w14:textId="413E648E" w:rsidR="00C34E39" w:rsidRDefault="00C34E39" w:rsidP="00C34E39">
            <w:pPr>
              <w:jc w:val="right"/>
            </w:pPr>
            <w:r>
              <w:t>Hardware</w:t>
            </w:r>
          </w:p>
        </w:tc>
        <w:tc>
          <w:tcPr>
            <w:tcW w:w="3906" w:type="dxa"/>
          </w:tcPr>
          <w:p w14:paraId="1EE4092C" w14:textId="28AE3F17" w:rsidR="00C34E39" w:rsidRDefault="00C34E39" w:rsidP="00C34E39">
            <w:r w:rsidRPr="00FC34E9">
              <w:rPr>
                <w:rFonts w:eastAsia="Times New Roman" w:cs="Times New Roman"/>
                <w:bCs/>
                <w:szCs w:val="28"/>
              </w:rPr>
              <w:t>Material of construction of wetted parts should be compatible with a wide variety of solutions and solvents used in organic synthetic process development. Although not required, inert materials for the handling of biologic materials is also desired.</w:t>
            </w:r>
          </w:p>
        </w:tc>
        <w:tc>
          <w:tcPr>
            <w:tcW w:w="760" w:type="dxa"/>
            <w:shd w:val="clear" w:color="auto" w:fill="D9D9D9" w:themeFill="background1" w:themeFillShade="D9"/>
          </w:tcPr>
          <w:p w14:paraId="2D40A451" w14:textId="77777777" w:rsidR="00C34E39" w:rsidRDefault="00C34E39" w:rsidP="00C34E39"/>
        </w:tc>
        <w:tc>
          <w:tcPr>
            <w:tcW w:w="3635" w:type="dxa"/>
            <w:shd w:val="clear" w:color="auto" w:fill="D9D9D9" w:themeFill="background1" w:themeFillShade="D9"/>
          </w:tcPr>
          <w:p w14:paraId="23EC8E45" w14:textId="77777777" w:rsidR="00C34E39" w:rsidRDefault="00C34E39" w:rsidP="00C34E39"/>
        </w:tc>
      </w:tr>
      <w:tr w:rsidR="00C34E39" w14:paraId="510A71B5" w14:textId="77777777" w:rsidTr="00C34E39">
        <w:trPr>
          <w:trHeight w:val="720"/>
        </w:trPr>
        <w:tc>
          <w:tcPr>
            <w:tcW w:w="1180" w:type="dxa"/>
          </w:tcPr>
          <w:p w14:paraId="2C8D43A4" w14:textId="2E8A8809" w:rsidR="00C34E39" w:rsidRPr="00107F9C" w:rsidRDefault="00C34E39" w:rsidP="00C34E39">
            <w:pPr>
              <w:jc w:val="right"/>
            </w:pPr>
            <w:r>
              <w:t>Hardware</w:t>
            </w:r>
          </w:p>
        </w:tc>
        <w:tc>
          <w:tcPr>
            <w:tcW w:w="3906" w:type="dxa"/>
          </w:tcPr>
          <w:p w14:paraId="4268A9D1" w14:textId="3FB7205C" w:rsidR="00C34E39" w:rsidRDefault="00C34E39" w:rsidP="00C34E39">
            <w:r w:rsidRPr="00FC34E9">
              <w:rPr>
                <w:rFonts w:eastAsia="Times New Roman" w:cs="Times New Roman"/>
                <w:bCs/>
                <w:szCs w:val="28"/>
              </w:rPr>
              <w:t>The mobile phase solvent pump must be capable of at least 400 bar pressure. A pump capable of 1000 bar is preferred.</w:t>
            </w:r>
          </w:p>
        </w:tc>
        <w:tc>
          <w:tcPr>
            <w:tcW w:w="760" w:type="dxa"/>
            <w:shd w:val="clear" w:color="auto" w:fill="D9D9D9" w:themeFill="background1" w:themeFillShade="D9"/>
          </w:tcPr>
          <w:p w14:paraId="44479C74" w14:textId="77777777" w:rsidR="00C34E39" w:rsidRDefault="00C34E39" w:rsidP="00C34E39"/>
        </w:tc>
        <w:tc>
          <w:tcPr>
            <w:tcW w:w="3635" w:type="dxa"/>
            <w:shd w:val="clear" w:color="auto" w:fill="D9D9D9" w:themeFill="background1" w:themeFillShade="D9"/>
          </w:tcPr>
          <w:p w14:paraId="0A49ECB4" w14:textId="77777777" w:rsidR="00C34E39" w:rsidRDefault="00C34E39" w:rsidP="00C34E39"/>
        </w:tc>
      </w:tr>
      <w:tr w:rsidR="00C34E39" w14:paraId="0D08E97E" w14:textId="77777777" w:rsidTr="00C34E39">
        <w:trPr>
          <w:trHeight w:val="720"/>
        </w:trPr>
        <w:tc>
          <w:tcPr>
            <w:tcW w:w="1180" w:type="dxa"/>
          </w:tcPr>
          <w:p w14:paraId="18B90F10" w14:textId="364D38FF" w:rsidR="00C34E39" w:rsidRDefault="00C34E39" w:rsidP="00C34E39">
            <w:pPr>
              <w:jc w:val="right"/>
            </w:pPr>
            <w:r>
              <w:t>Hardware</w:t>
            </w:r>
          </w:p>
        </w:tc>
        <w:tc>
          <w:tcPr>
            <w:tcW w:w="3906" w:type="dxa"/>
          </w:tcPr>
          <w:p w14:paraId="0E839848" w14:textId="1FE64E29" w:rsidR="00C34E39" w:rsidRDefault="00C34E39" w:rsidP="00C34E39">
            <w:r w:rsidRPr="00BE148D">
              <w:rPr>
                <w:rFonts w:eastAsia="Times New Roman" w:cs="Times New Roman"/>
                <w:bCs/>
                <w:szCs w:val="28"/>
              </w:rPr>
              <w:t>Minimum 2-channel gradient capability, with a desire for 3 gradient channels.</w:t>
            </w:r>
          </w:p>
        </w:tc>
        <w:tc>
          <w:tcPr>
            <w:tcW w:w="760" w:type="dxa"/>
            <w:shd w:val="clear" w:color="auto" w:fill="D9D9D9" w:themeFill="background1" w:themeFillShade="D9"/>
          </w:tcPr>
          <w:p w14:paraId="6975AFDC" w14:textId="77777777" w:rsidR="00C34E39" w:rsidRDefault="00C34E39" w:rsidP="00C34E39"/>
        </w:tc>
        <w:tc>
          <w:tcPr>
            <w:tcW w:w="3635" w:type="dxa"/>
            <w:shd w:val="clear" w:color="auto" w:fill="D9D9D9" w:themeFill="background1" w:themeFillShade="D9"/>
          </w:tcPr>
          <w:p w14:paraId="62E8837B" w14:textId="77777777" w:rsidR="00C34E39" w:rsidRDefault="00C34E39" w:rsidP="00C34E39"/>
        </w:tc>
      </w:tr>
      <w:tr w:rsidR="00C34E39" w14:paraId="02EE0E9F" w14:textId="77777777" w:rsidTr="00C34E39">
        <w:trPr>
          <w:trHeight w:val="720"/>
        </w:trPr>
        <w:tc>
          <w:tcPr>
            <w:tcW w:w="1180" w:type="dxa"/>
          </w:tcPr>
          <w:p w14:paraId="29F23827" w14:textId="67150648" w:rsidR="00C34E39" w:rsidRDefault="00C34E39" w:rsidP="00C34E39">
            <w:pPr>
              <w:jc w:val="right"/>
            </w:pPr>
            <w:r>
              <w:t>Hardware</w:t>
            </w:r>
          </w:p>
        </w:tc>
        <w:tc>
          <w:tcPr>
            <w:tcW w:w="3906" w:type="dxa"/>
          </w:tcPr>
          <w:p w14:paraId="4C60FE8B" w14:textId="61514CF0" w:rsidR="00C34E39" w:rsidRDefault="00C34E39" w:rsidP="00C34E39">
            <w:r w:rsidRPr="00BE148D">
              <w:rPr>
                <w:rFonts w:eastAsia="Times New Roman" w:cs="Times New Roman"/>
                <w:bCs/>
                <w:szCs w:val="28"/>
              </w:rPr>
              <w:t>A single- or dual- channel ultraviolet (UV) detector in the range of 210-360nm is a minimum requirement. There is a strong preference for a variable wavelength or array detector. Minimum sample rate in all cases should be compatible with fast HPLC separations (</w:t>
            </w:r>
            <w:r w:rsidRPr="00BE148D">
              <w:rPr>
                <w:rFonts w:eastAsia="Times New Roman" w:cs="Times New Roman"/>
                <w:bCs/>
                <w:szCs w:val="28"/>
                <w:u w:val="single"/>
              </w:rPr>
              <w:t>&gt;</w:t>
            </w:r>
            <w:r w:rsidRPr="00BE148D">
              <w:rPr>
                <w:rFonts w:eastAsia="Times New Roman" w:cs="Times New Roman"/>
                <w:bCs/>
                <w:szCs w:val="28"/>
              </w:rPr>
              <w:t>60 Hz).</w:t>
            </w:r>
          </w:p>
        </w:tc>
        <w:tc>
          <w:tcPr>
            <w:tcW w:w="760" w:type="dxa"/>
            <w:shd w:val="clear" w:color="auto" w:fill="D9D9D9" w:themeFill="background1" w:themeFillShade="D9"/>
          </w:tcPr>
          <w:p w14:paraId="4011F430" w14:textId="77777777" w:rsidR="00C34E39" w:rsidRDefault="00C34E39" w:rsidP="00C34E39"/>
        </w:tc>
        <w:tc>
          <w:tcPr>
            <w:tcW w:w="3635" w:type="dxa"/>
            <w:shd w:val="clear" w:color="auto" w:fill="D9D9D9" w:themeFill="background1" w:themeFillShade="D9"/>
          </w:tcPr>
          <w:p w14:paraId="0BD1992D" w14:textId="77777777" w:rsidR="00C34E39" w:rsidRDefault="00C34E39" w:rsidP="00C34E39"/>
        </w:tc>
      </w:tr>
      <w:tr w:rsidR="00C34E39" w14:paraId="383C7474" w14:textId="77777777" w:rsidTr="00C34E39">
        <w:trPr>
          <w:trHeight w:val="720"/>
        </w:trPr>
        <w:tc>
          <w:tcPr>
            <w:tcW w:w="1180" w:type="dxa"/>
          </w:tcPr>
          <w:p w14:paraId="01B390E1" w14:textId="5C2DAE31" w:rsidR="00C34E39" w:rsidRDefault="00C34E39" w:rsidP="00C34E39">
            <w:pPr>
              <w:jc w:val="right"/>
            </w:pPr>
            <w:r>
              <w:t>Hardware</w:t>
            </w:r>
          </w:p>
        </w:tc>
        <w:tc>
          <w:tcPr>
            <w:tcW w:w="3906" w:type="dxa"/>
          </w:tcPr>
          <w:p w14:paraId="60C9B42C" w14:textId="07018F6C" w:rsidR="00C34E39" w:rsidRDefault="00C34E39" w:rsidP="00C34E39">
            <w:r w:rsidRPr="00BE148D">
              <w:rPr>
                <w:rFonts w:eastAsia="Times New Roman" w:cs="Times New Roman"/>
                <w:bCs/>
                <w:szCs w:val="28"/>
              </w:rPr>
              <w:t>Chromatography columns should provide efficiencies comparable to typical 2.7 µm core-shell C18 columns (~250,000 N/m). Columns should be readily available packed with a variety of commercial phases from multiple column suppliers.</w:t>
            </w:r>
          </w:p>
        </w:tc>
        <w:tc>
          <w:tcPr>
            <w:tcW w:w="760" w:type="dxa"/>
            <w:shd w:val="clear" w:color="auto" w:fill="D9D9D9" w:themeFill="background1" w:themeFillShade="D9"/>
          </w:tcPr>
          <w:p w14:paraId="3511E1CF" w14:textId="77777777" w:rsidR="00C34E39" w:rsidRDefault="00C34E39" w:rsidP="00C34E39"/>
        </w:tc>
        <w:tc>
          <w:tcPr>
            <w:tcW w:w="3635" w:type="dxa"/>
            <w:shd w:val="clear" w:color="auto" w:fill="D9D9D9" w:themeFill="background1" w:themeFillShade="D9"/>
          </w:tcPr>
          <w:p w14:paraId="0A108EA1" w14:textId="77777777" w:rsidR="00C34E39" w:rsidRDefault="00C34E39" w:rsidP="00C34E39"/>
        </w:tc>
      </w:tr>
      <w:tr w:rsidR="00C34E39" w14:paraId="235C81E0" w14:textId="77777777" w:rsidTr="00C34E39">
        <w:trPr>
          <w:trHeight w:val="720"/>
        </w:trPr>
        <w:tc>
          <w:tcPr>
            <w:tcW w:w="1180" w:type="dxa"/>
          </w:tcPr>
          <w:p w14:paraId="024C684D" w14:textId="2B089C62" w:rsidR="00C34E39" w:rsidRDefault="00C34E39" w:rsidP="00C34E39">
            <w:pPr>
              <w:jc w:val="right"/>
            </w:pPr>
            <w:r>
              <w:t>Hardware</w:t>
            </w:r>
          </w:p>
        </w:tc>
        <w:tc>
          <w:tcPr>
            <w:tcW w:w="3906" w:type="dxa"/>
          </w:tcPr>
          <w:p w14:paraId="484A0380" w14:textId="61E7DBDA" w:rsidR="00C34E39" w:rsidRDefault="00C34E39" w:rsidP="00C34E39">
            <w:r w:rsidRPr="00BE148D">
              <w:rPr>
                <w:rFonts w:eastAsia="Times New Roman" w:cs="Times New Roman"/>
                <w:bCs/>
                <w:szCs w:val="28"/>
              </w:rPr>
              <w:t>Instrument should be able to trigger remotely using contact closure or other common initiation event.</w:t>
            </w:r>
          </w:p>
        </w:tc>
        <w:tc>
          <w:tcPr>
            <w:tcW w:w="760" w:type="dxa"/>
            <w:shd w:val="clear" w:color="auto" w:fill="D9D9D9" w:themeFill="background1" w:themeFillShade="D9"/>
          </w:tcPr>
          <w:p w14:paraId="5A7521D0" w14:textId="77777777" w:rsidR="00C34E39" w:rsidRDefault="00C34E39" w:rsidP="00C34E39"/>
        </w:tc>
        <w:tc>
          <w:tcPr>
            <w:tcW w:w="3635" w:type="dxa"/>
            <w:shd w:val="clear" w:color="auto" w:fill="D9D9D9" w:themeFill="background1" w:themeFillShade="D9"/>
          </w:tcPr>
          <w:p w14:paraId="5A9F1103" w14:textId="77777777" w:rsidR="00C34E39" w:rsidRDefault="00C34E39" w:rsidP="00C34E39"/>
        </w:tc>
      </w:tr>
      <w:tr w:rsidR="00C34E39" w14:paraId="4B9F526C" w14:textId="77777777" w:rsidTr="00C34E39">
        <w:trPr>
          <w:trHeight w:val="720"/>
        </w:trPr>
        <w:tc>
          <w:tcPr>
            <w:tcW w:w="1180" w:type="dxa"/>
          </w:tcPr>
          <w:p w14:paraId="2EEF236D" w14:textId="280101BE" w:rsidR="00C34E39" w:rsidRDefault="00C34E39" w:rsidP="00C34E39">
            <w:pPr>
              <w:jc w:val="right"/>
            </w:pPr>
            <w:r>
              <w:t>Hardware</w:t>
            </w:r>
          </w:p>
        </w:tc>
        <w:tc>
          <w:tcPr>
            <w:tcW w:w="3906" w:type="dxa"/>
          </w:tcPr>
          <w:p w14:paraId="272ED727" w14:textId="16EA2E30" w:rsidR="00C34E39" w:rsidRDefault="00C34E39" w:rsidP="00C34E39">
            <w:r w:rsidRPr="00BE148D">
              <w:rPr>
                <w:rFonts w:eastAsia="Times New Roman" w:cs="Times New Roman"/>
                <w:bCs/>
                <w:szCs w:val="28"/>
              </w:rPr>
              <w:t>A column compartment capable of 20-65°C temperature control is desirable.</w:t>
            </w:r>
          </w:p>
        </w:tc>
        <w:tc>
          <w:tcPr>
            <w:tcW w:w="760" w:type="dxa"/>
            <w:shd w:val="clear" w:color="auto" w:fill="D9D9D9" w:themeFill="background1" w:themeFillShade="D9"/>
          </w:tcPr>
          <w:p w14:paraId="4B00C2BE" w14:textId="77777777" w:rsidR="00C34E39" w:rsidRDefault="00C34E39" w:rsidP="00C34E39"/>
        </w:tc>
        <w:tc>
          <w:tcPr>
            <w:tcW w:w="3635" w:type="dxa"/>
            <w:shd w:val="clear" w:color="auto" w:fill="D9D9D9" w:themeFill="background1" w:themeFillShade="D9"/>
          </w:tcPr>
          <w:p w14:paraId="773BC91D" w14:textId="77777777" w:rsidR="00C34E39" w:rsidRDefault="00C34E39" w:rsidP="00C34E39"/>
        </w:tc>
      </w:tr>
      <w:tr w:rsidR="00C34E39" w14:paraId="5779014F" w14:textId="77777777" w:rsidTr="00C34E39">
        <w:trPr>
          <w:trHeight w:val="720"/>
        </w:trPr>
        <w:tc>
          <w:tcPr>
            <w:tcW w:w="1180" w:type="dxa"/>
          </w:tcPr>
          <w:p w14:paraId="52F376CC" w14:textId="40AFB710" w:rsidR="00C34E39" w:rsidRDefault="00C34E39" w:rsidP="00C34E39">
            <w:pPr>
              <w:jc w:val="right"/>
            </w:pPr>
            <w:r>
              <w:t>Hardware</w:t>
            </w:r>
          </w:p>
        </w:tc>
        <w:tc>
          <w:tcPr>
            <w:tcW w:w="3906" w:type="dxa"/>
          </w:tcPr>
          <w:p w14:paraId="61214E5E" w14:textId="30FAA1CF" w:rsidR="00C34E39" w:rsidRDefault="00C34E39" w:rsidP="00C34E39">
            <w:r w:rsidRPr="00BE148D">
              <w:rPr>
                <w:rFonts w:eastAsia="Times New Roman" w:cs="Times New Roman"/>
                <w:bCs/>
                <w:szCs w:val="28"/>
              </w:rPr>
              <w:t>Facile coupling with mass spectrometry detection is also desired.</w:t>
            </w:r>
          </w:p>
        </w:tc>
        <w:tc>
          <w:tcPr>
            <w:tcW w:w="760" w:type="dxa"/>
            <w:shd w:val="clear" w:color="auto" w:fill="D9D9D9" w:themeFill="background1" w:themeFillShade="D9"/>
          </w:tcPr>
          <w:p w14:paraId="55C85951" w14:textId="77777777" w:rsidR="00C34E39" w:rsidRDefault="00C34E39" w:rsidP="00C34E39"/>
        </w:tc>
        <w:tc>
          <w:tcPr>
            <w:tcW w:w="3635" w:type="dxa"/>
            <w:shd w:val="clear" w:color="auto" w:fill="D9D9D9" w:themeFill="background1" w:themeFillShade="D9"/>
          </w:tcPr>
          <w:p w14:paraId="02176B38" w14:textId="77777777" w:rsidR="00C34E39" w:rsidRDefault="00C34E39" w:rsidP="00C34E39"/>
        </w:tc>
      </w:tr>
      <w:tr w:rsidR="00C34E39" w14:paraId="4EC77292" w14:textId="77777777" w:rsidTr="00C34E39">
        <w:trPr>
          <w:trHeight w:val="720"/>
        </w:trPr>
        <w:tc>
          <w:tcPr>
            <w:tcW w:w="1180" w:type="dxa"/>
          </w:tcPr>
          <w:p w14:paraId="583415DB" w14:textId="2B4F2282" w:rsidR="00C34E39" w:rsidRDefault="00C34E39" w:rsidP="00C34E39">
            <w:pPr>
              <w:jc w:val="right"/>
            </w:pPr>
            <w:r>
              <w:t>Software – User Interface</w:t>
            </w:r>
          </w:p>
        </w:tc>
        <w:tc>
          <w:tcPr>
            <w:tcW w:w="3906" w:type="dxa"/>
          </w:tcPr>
          <w:p w14:paraId="61376173" w14:textId="033B738F" w:rsidR="00C34E39" w:rsidRDefault="00C34E39" w:rsidP="00C34E39">
            <w:r w:rsidRPr="007E0F2D">
              <w:rPr>
                <w:rFonts w:eastAsia="Times New Roman" w:cs="Times New Roman"/>
                <w:bCs/>
                <w:szCs w:val="28"/>
              </w:rPr>
              <w:t>An intuitive interface for use by non-specialists is required. Control through conventional chromatography data systems is strongly desired.</w:t>
            </w:r>
          </w:p>
        </w:tc>
        <w:tc>
          <w:tcPr>
            <w:tcW w:w="760" w:type="dxa"/>
            <w:shd w:val="clear" w:color="auto" w:fill="D9D9D9" w:themeFill="background1" w:themeFillShade="D9"/>
          </w:tcPr>
          <w:p w14:paraId="24A27263" w14:textId="77777777" w:rsidR="00C34E39" w:rsidRDefault="00C34E39" w:rsidP="00C34E39"/>
        </w:tc>
        <w:tc>
          <w:tcPr>
            <w:tcW w:w="3635" w:type="dxa"/>
            <w:shd w:val="clear" w:color="auto" w:fill="D9D9D9" w:themeFill="background1" w:themeFillShade="D9"/>
          </w:tcPr>
          <w:p w14:paraId="070B123D" w14:textId="77777777" w:rsidR="00C34E39" w:rsidRDefault="00C34E39" w:rsidP="00C34E39"/>
        </w:tc>
      </w:tr>
      <w:tr w:rsidR="00C34E39" w14:paraId="61B61DC3" w14:textId="77777777" w:rsidTr="00C34E39">
        <w:trPr>
          <w:trHeight w:val="720"/>
        </w:trPr>
        <w:tc>
          <w:tcPr>
            <w:tcW w:w="1180" w:type="dxa"/>
          </w:tcPr>
          <w:p w14:paraId="54831EA8" w14:textId="0BF3CD19" w:rsidR="00C34E39" w:rsidRDefault="00C34E39" w:rsidP="00C34E39">
            <w:pPr>
              <w:jc w:val="right"/>
            </w:pPr>
            <w:r>
              <w:t>Software – User Interface</w:t>
            </w:r>
          </w:p>
        </w:tc>
        <w:tc>
          <w:tcPr>
            <w:tcW w:w="3906" w:type="dxa"/>
          </w:tcPr>
          <w:p w14:paraId="453C0825" w14:textId="1ACCF6BD" w:rsidR="00C34E39" w:rsidRDefault="00C34E39" w:rsidP="00C34E39">
            <w:r w:rsidRPr="007E0F2D">
              <w:rPr>
                <w:rFonts w:eastAsia="Times New Roman" w:cs="Times New Roman"/>
                <w:bCs/>
                <w:szCs w:val="28"/>
              </w:rPr>
              <w:t>Setup to enable a sequence of analyses (e.g. sampling interval, method parameters, number of samples, etc.) should be available in a user-friendly fashion that requires minimal training or special expertise.</w:t>
            </w:r>
          </w:p>
        </w:tc>
        <w:tc>
          <w:tcPr>
            <w:tcW w:w="760" w:type="dxa"/>
            <w:shd w:val="clear" w:color="auto" w:fill="D9D9D9" w:themeFill="background1" w:themeFillShade="D9"/>
          </w:tcPr>
          <w:p w14:paraId="2B11499C" w14:textId="77777777" w:rsidR="00C34E39" w:rsidRDefault="00C34E39" w:rsidP="00C34E39"/>
        </w:tc>
        <w:tc>
          <w:tcPr>
            <w:tcW w:w="3635" w:type="dxa"/>
            <w:shd w:val="clear" w:color="auto" w:fill="D9D9D9" w:themeFill="background1" w:themeFillShade="D9"/>
          </w:tcPr>
          <w:p w14:paraId="5141BB2A" w14:textId="77777777" w:rsidR="00C34E39" w:rsidRDefault="00C34E39" w:rsidP="00C34E39"/>
        </w:tc>
      </w:tr>
      <w:tr w:rsidR="00C34E39" w14:paraId="0734A315" w14:textId="77777777" w:rsidTr="00C34E39">
        <w:trPr>
          <w:trHeight w:val="720"/>
        </w:trPr>
        <w:tc>
          <w:tcPr>
            <w:tcW w:w="1180" w:type="dxa"/>
          </w:tcPr>
          <w:p w14:paraId="22A0A413" w14:textId="32BF1E36" w:rsidR="00C34E39" w:rsidRDefault="00C34E39" w:rsidP="00C34E39">
            <w:pPr>
              <w:jc w:val="right"/>
            </w:pPr>
            <w:r>
              <w:t>Software – User Interface</w:t>
            </w:r>
          </w:p>
        </w:tc>
        <w:tc>
          <w:tcPr>
            <w:tcW w:w="3906" w:type="dxa"/>
          </w:tcPr>
          <w:p w14:paraId="07C32567" w14:textId="44227692" w:rsidR="00C34E39" w:rsidRDefault="00C34E39" w:rsidP="00C34E39">
            <w:r w:rsidRPr="007E0F2D">
              <w:rPr>
                <w:rFonts w:eastAsia="Times New Roman" w:cs="Times New Roman"/>
                <w:bCs/>
                <w:szCs w:val="28"/>
              </w:rPr>
              <w:t>There is a requirement for simple output in a standard report format (e.g. Allotrope Foundation) to enable integration with process data management systems. Output via OPC-UA or other standard formats is desired for system integration.</w:t>
            </w:r>
          </w:p>
        </w:tc>
        <w:tc>
          <w:tcPr>
            <w:tcW w:w="760" w:type="dxa"/>
            <w:shd w:val="clear" w:color="auto" w:fill="D9D9D9" w:themeFill="background1" w:themeFillShade="D9"/>
          </w:tcPr>
          <w:p w14:paraId="647E923E" w14:textId="77777777" w:rsidR="00C34E39" w:rsidRDefault="00C34E39" w:rsidP="00C34E39"/>
        </w:tc>
        <w:tc>
          <w:tcPr>
            <w:tcW w:w="3635" w:type="dxa"/>
            <w:shd w:val="clear" w:color="auto" w:fill="D9D9D9" w:themeFill="background1" w:themeFillShade="D9"/>
          </w:tcPr>
          <w:p w14:paraId="66BD4CB5" w14:textId="77777777" w:rsidR="00C34E39" w:rsidRDefault="00C34E39" w:rsidP="00C34E39"/>
        </w:tc>
      </w:tr>
      <w:tr w:rsidR="00C34E39" w14:paraId="541D1DE2" w14:textId="77777777" w:rsidTr="00C34E39">
        <w:trPr>
          <w:trHeight w:val="720"/>
        </w:trPr>
        <w:tc>
          <w:tcPr>
            <w:tcW w:w="1180" w:type="dxa"/>
          </w:tcPr>
          <w:p w14:paraId="0961229E" w14:textId="6C4ABEF3" w:rsidR="00C34E39" w:rsidRDefault="00C34E39" w:rsidP="005C3D3D">
            <w:pPr>
              <w:jc w:val="right"/>
            </w:pPr>
            <w:r>
              <w:t>Other</w:t>
            </w:r>
          </w:p>
        </w:tc>
        <w:tc>
          <w:tcPr>
            <w:tcW w:w="3906" w:type="dxa"/>
          </w:tcPr>
          <w:p w14:paraId="499CE02F" w14:textId="796E0C3D" w:rsidR="00C34E39" w:rsidRDefault="00C34E39" w:rsidP="00C34E39">
            <w:pPr>
              <w:keepNext w:val="0"/>
              <w:keepLines w:val="0"/>
              <w:contextualSpacing/>
              <w:rPr>
                <w:rFonts w:eastAsia="Times New Roman" w:cs="Times New Roman"/>
                <w:bCs/>
                <w:szCs w:val="28"/>
              </w:rPr>
            </w:pPr>
            <w:r w:rsidRPr="00FD0713">
              <w:rPr>
                <w:rFonts w:eastAsia="Times New Roman" w:cs="Times New Roman"/>
                <w:bCs/>
                <w:szCs w:val="28"/>
              </w:rPr>
              <w:t>Vendor</w:t>
            </w:r>
            <w:r>
              <w:rPr>
                <w:rFonts w:eastAsia="Times New Roman" w:cs="Times New Roman"/>
                <w:bCs/>
                <w:szCs w:val="28"/>
              </w:rPr>
              <w:t xml:space="preserve"> provided IQ/OQ (Installation Qualification/Operational Qualification) </w:t>
            </w:r>
            <w:r w:rsidRPr="00FD0713">
              <w:rPr>
                <w:rFonts w:eastAsia="Times New Roman" w:cs="Times New Roman"/>
                <w:bCs/>
                <w:szCs w:val="28"/>
              </w:rPr>
              <w:t>process.</w:t>
            </w:r>
          </w:p>
          <w:p w14:paraId="6E79AD89" w14:textId="6378A5DC" w:rsidR="00C34E39" w:rsidRDefault="00C34E39" w:rsidP="00C34E39"/>
        </w:tc>
        <w:tc>
          <w:tcPr>
            <w:tcW w:w="760" w:type="dxa"/>
            <w:shd w:val="clear" w:color="auto" w:fill="D9D9D9" w:themeFill="background1" w:themeFillShade="D9"/>
          </w:tcPr>
          <w:p w14:paraId="4D034C11" w14:textId="77777777" w:rsidR="00C34E39" w:rsidRDefault="00C34E39" w:rsidP="00C35FF3"/>
        </w:tc>
        <w:tc>
          <w:tcPr>
            <w:tcW w:w="3635" w:type="dxa"/>
            <w:shd w:val="clear" w:color="auto" w:fill="D9D9D9" w:themeFill="background1" w:themeFillShade="D9"/>
          </w:tcPr>
          <w:p w14:paraId="128A0637" w14:textId="77777777" w:rsidR="00C34E39" w:rsidRDefault="00C34E39" w:rsidP="00C35FF3"/>
        </w:tc>
      </w:tr>
      <w:tr w:rsidR="00C34E39" w14:paraId="458E8349" w14:textId="77777777" w:rsidTr="00C34E39">
        <w:trPr>
          <w:trHeight w:val="720"/>
        </w:trPr>
        <w:tc>
          <w:tcPr>
            <w:tcW w:w="1180" w:type="dxa"/>
          </w:tcPr>
          <w:p w14:paraId="7C103FE3" w14:textId="106AA3F4" w:rsidR="00C34E39" w:rsidRDefault="00C34E39" w:rsidP="005C3D3D">
            <w:pPr>
              <w:jc w:val="right"/>
            </w:pPr>
            <w:r>
              <w:t>Other</w:t>
            </w:r>
          </w:p>
        </w:tc>
        <w:tc>
          <w:tcPr>
            <w:tcW w:w="3906" w:type="dxa"/>
          </w:tcPr>
          <w:p w14:paraId="166FF109" w14:textId="736BBDE7" w:rsidR="00C34E39" w:rsidRDefault="00C34E39" w:rsidP="00AF1DDD">
            <w:r w:rsidRPr="00FD0713">
              <w:rPr>
                <w:rFonts w:eastAsia="Times New Roman" w:cs="Times New Roman"/>
                <w:bCs/>
                <w:szCs w:val="28"/>
              </w:rPr>
              <w:t>A migration path to GMP use must be available (i.e. 21CFR part 11)</w:t>
            </w:r>
          </w:p>
        </w:tc>
        <w:tc>
          <w:tcPr>
            <w:tcW w:w="760" w:type="dxa"/>
            <w:shd w:val="clear" w:color="auto" w:fill="D9D9D9" w:themeFill="background1" w:themeFillShade="D9"/>
          </w:tcPr>
          <w:p w14:paraId="5F7EACA0" w14:textId="77777777" w:rsidR="00C34E39" w:rsidRDefault="00C34E39" w:rsidP="00C35FF3"/>
        </w:tc>
        <w:tc>
          <w:tcPr>
            <w:tcW w:w="3635" w:type="dxa"/>
            <w:shd w:val="clear" w:color="auto" w:fill="D9D9D9" w:themeFill="background1" w:themeFillShade="D9"/>
          </w:tcPr>
          <w:p w14:paraId="19B16579" w14:textId="77777777" w:rsidR="00C34E39" w:rsidRDefault="00C34E39" w:rsidP="00C35FF3"/>
        </w:tc>
      </w:tr>
      <w:tr w:rsidR="00C34E39" w14:paraId="1AB2F3B3" w14:textId="77777777" w:rsidTr="00C34E39">
        <w:trPr>
          <w:trHeight w:val="720"/>
        </w:trPr>
        <w:tc>
          <w:tcPr>
            <w:tcW w:w="1180" w:type="dxa"/>
          </w:tcPr>
          <w:p w14:paraId="074F676E" w14:textId="44038FBC" w:rsidR="00C34E39" w:rsidRDefault="00C34E39" w:rsidP="00C34E39">
            <w:pPr>
              <w:jc w:val="right"/>
            </w:pPr>
            <w:r>
              <w:t>Optional</w:t>
            </w:r>
          </w:p>
        </w:tc>
        <w:tc>
          <w:tcPr>
            <w:tcW w:w="3906" w:type="dxa"/>
          </w:tcPr>
          <w:p w14:paraId="0C3FAD9F" w14:textId="7703AF67" w:rsidR="00C34E39" w:rsidRDefault="00C34E39" w:rsidP="00C34E39">
            <w:r w:rsidRPr="00AD6DFB">
              <w:t>Operation with an autosampler (vendor-supplied or third party) to enable standard bench-top measurements and troubleshooting would be useful.</w:t>
            </w:r>
          </w:p>
        </w:tc>
        <w:tc>
          <w:tcPr>
            <w:tcW w:w="760" w:type="dxa"/>
            <w:shd w:val="clear" w:color="auto" w:fill="D9D9D9" w:themeFill="background1" w:themeFillShade="D9"/>
          </w:tcPr>
          <w:p w14:paraId="01F46B42" w14:textId="77777777" w:rsidR="00C34E39" w:rsidRDefault="00C34E39" w:rsidP="00C34E39"/>
        </w:tc>
        <w:tc>
          <w:tcPr>
            <w:tcW w:w="3635" w:type="dxa"/>
            <w:shd w:val="clear" w:color="auto" w:fill="D9D9D9" w:themeFill="background1" w:themeFillShade="D9"/>
          </w:tcPr>
          <w:p w14:paraId="18C362D3" w14:textId="77777777" w:rsidR="00C34E39" w:rsidRDefault="00C34E39" w:rsidP="00C34E39"/>
        </w:tc>
      </w:tr>
      <w:tr w:rsidR="00C34E39" w14:paraId="761B8F5A" w14:textId="77777777" w:rsidTr="00C34E39">
        <w:trPr>
          <w:trHeight w:val="720"/>
        </w:trPr>
        <w:tc>
          <w:tcPr>
            <w:tcW w:w="1180" w:type="dxa"/>
          </w:tcPr>
          <w:p w14:paraId="38A8D7C5" w14:textId="74F5F1AF" w:rsidR="00C34E39" w:rsidRDefault="00C34E39" w:rsidP="00C34E39">
            <w:pPr>
              <w:jc w:val="right"/>
            </w:pPr>
            <w:r>
              <w:t>Optional</w:t>
            </w:r>
          </w:p>
        </w:tc>
        <w:tc>
          <w:tcPr>
            <w:tcW w:w="3906" w:type="dxa"/>
          </w:tcPr>
          <w:p w14:paraId="406A62A7" w14:textId="636CE732" w:rsidR="00C34E39" w:rsidRDefault="00C34E39" w:rsidP="00C34E39">
            <w:r w:rsidRPr="00AD6DFB">
              <w:t>The ability to stack sequential analyses during real-time operation for visualization process evolution is desired, as is the capability of plotting individual species as a function of time (trend plots).</w:t>
            </w:r>
          </w:p>
        </w:tc>
        <w:tc>
          <w:tcPr>
            <w:tcW w:w="760" w:type="dxa"/>
            <w:shd w:val="clear" w:color="auto" w:fill="D9D9D9" w:themeFill="background1" w:themeFillShade="D9"/>
          </w:tcPr>
          <w:p w14:paraId="4C578273" w14:textId="77777777" w:rsidR="00C34E39" w:rsidRDefault="00C34E39" w:rsidP="00C34E39"/>
        </w:tc>
        <w:tc>
          <w:tcPr>
            <w:tcW w:w="3635" w:type="dxa"/>
            <w:shd w:val="clear" w:color="auto" w:fill="D9D9D9" w:themeFill="background1" w:themeFillShade="D9"/>
          </w:tcPr>
          <w:p w14:paraId="54345130" w14:textId="77777777" w:rsidR="00C34E39" w:rsidRDefault="00C34E39" w:rsidP="00C34E39"/>
        </w:tc>
      </w:tr>
    </w:tbl>
    <w:p w14:paraId="52545889" w14:textId="77777777" w:rsidR="00C35FF3" w:rsidRPr="005B2898" w:rsidRDefault="0005587D" w:rsidP="00612F49">
      <w:pPr>
        <w:pStyle w:val="Heading2"/>
      </w:pPr>
      <w:bookmarkStart w:id="30" w:name="_Toc466624250"/>
      <w:r w:rsidRPr="005B2898">
        <w:t>Estimated Timeline</w:t>
      </w:r>
      <w:bookmarkEnd w:id="30"/>
    </w:p>
    <w:tbl>
      <w:tblPr>
        <w:tblStyle w:val="TableGrid"/>
        <w:tblW w:w="0" w:type="auto"/>
        <w:tblLook w:val="04A0" w:firstRow="1" w:lastRow="0" w:firstColumn="1" w:lastColumn="0" w:noHBand="0" w:noVBand="1"/>
      </w:tblPr>
      <w:tblGrid>
        <w:gridCol w:w="9350"/>
      </w:tblGrid>
      <w:tr w:rsidR="007474D0" w14:paraId="7E14ADBC" w14:textId="77777777" w:rsidTr="006C64D0">
        <w:trPr>
          <w:trHeight w:val="1872"/>
        </w:trPr>
        <w:tc>
          <w:tcPr>
            <w:tcW w:w="9576" w:type="dxa"/>
            <w:shd w:val="clear" w:color="auto" w:fill="D9D9D9" w:themeFill="background1" w:themeFillShade="D9"/>
          </w:tcPr>
          <w:p w14:paraId="08D56873" w14:textId="77777777" w:rsidR="007474D0" w:rsidRDefault="007474D0" w:rsidP="007474D0"/>
        </w:tc>
      </w:tr>
    </w:tbl>
    <w:p w14:paraId="7A59FAB5" w14:textId="77777777" w:rsidR="00F3211C" w:rsidRPr="005B2898" w:rsidRDefault="0005587D" w:rsidP="00612F49">
      <w:pPr>
        <w:pStyle w:val="Heading2"/>
      </w:pPr>
      <w:bookmarkStart w:id="31" w:name="_Toc466624251"/>
      <w:r w:rsidRPr="005B2898">
        <w:t>Estimated Project Cost</w:t>
      </w:r>
      <w:bookmarkEnd w:id="31"/>
    </w:p>
    <w:tbl>
      <w:tblPr>
        <w:tblStyle w:val="TableGrid"/>
        <w:tblW w:w="0" w:type="auto"/>
        <w:tblLook w:val="04A0" w:firstRow="1" w:lastRow="0" w:firstColumn="1" w:lastColumn="0" w:noHBand="0" w:noVBand="1"/>
      </w:tblPr>
      <w:tblGrid>
        <w:gridCol w:w="9350"/>
      </w:tblGrid>
      <w:tr w:rsidR="007474D0" w14:paraId="6F79AE10" w14:textId="77777777" w:rsidTr="006C64D0">
        <w:trPr>
          <w:trHeight w:val="1872"/>
        </w:trPr>
        <w:tc>
          <w:tcPr>
            <w:tcW w:w="9576" w:type="dxa"/>
            <w:shd w:val="clear" w:color="auto" w:fill="D9D9D9" w:themeFill="background1" w:themeFillShade="D9"/>
          </w:tcPr>
          <w:p w14:paraId="68F3E3DE" w14:textId="77777777" w:rsidR="007474D0" w:rsidRDefault="007474D0" w:rsidP="007474D0"/>
        </w:tc>
      </w:tr>
    </w:tbl>
    <w:p w14:paraId="2A1783AA" w14:textId="77777777" w:rsidR="007474D0" w:rsidRPr="00530F7B" w:rsidRDefault="007474D0" w:rsidP="007474D0"/>
    <w:sectPr w:rsidR="007474D0" w:rsidRPr="00530F7B" w:rsidSect="00E3438F">
      <w:headerReference w:type="default" r:id="rId11"/>
      <w:footerReference w:type="default" r:id="rId12"/>
      <w:foot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CD85" w14:textId="77777777" w:rsidR="00FF7683" w:rsidRDefault="00FF7683" w:rsidP="00DB6FED">
      <w:r>
        <w:separator/>
      </w:r>
    </w:p>
  </w:endnote>
  <w:endnote w:type="continuationSeparator" w:id="0">
    <w:p w14:paraId="5B7F5559" w14:textId="77777777" w:rsidR="00FF7683" w:rsidRDefault="00FF7683"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A900" w14:textId="43BA9B9C" w:rsidR="00FF7683" w:rsidRDefault="00FF7683" w:rsidP="00E3438F">
    <w:pPr>
      <w:pStyle w:val="Footer"/>
      <w:tabs>
        <w:tab w:val="clear" w:pos="9360"/>
        <w:tab w:val="right" w:pos="9990"/>
      </w:tabs>
      <w:spacing w:line="200" w:lineRule="exact"/>
      <w:ind w:left="-720"/>
      <w:rPr>
        <w:i/>
        <w:sz w:val="20"/>
      </w:rPr>
    </w:pPr>
    <w:r w:rsidRPr="0017424B">
      <w:rPr>
        <w:i/>
      </w:rPr>
      <w:t>©201</w:t>
    </w:r>
    <w:r>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EAB" w14:textId="77777777" w:rsidR="00FF7683" w:rsidRDefault="00FF7683"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FF7683" w:rsidRDefault="00FF7683"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A0AC" w14:textId="77777777" w:rsidR="00FF7683" w:rsidRDefault="00FF7683" w:rsidP="00DB6FED">
      <w:r>
        <w:separator/>
      </w:r>
    </w:p>
  </w:footnote>
  <w:footnote w:type="continuationSeparator" w:id="0">
    <w:p w14:paraId="196A807B" w14:textId="77777777" w:rsidR="00FF7683" w:rsidRDefault="00FF7683"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CC" w14:textId="06AFD459" w:rsidR="00FF7683" w:rsidRDefault="00FF7683" w:rsidP="00E14D75">
    <w:pPr>
      <w:pStyle w:val="Header"/>
      <w:tabs>
        <w:tab w:val="clear" w:pos="9360"/>
        <w:tab w:val="right" w:pos="9990"/>
      </w:tabs>
      <w:ind w:left="-720"/>
    </w:pPr>
    <w:r w:rsidRPr="0017424B">
      <w:t>Enabling Technologies Consortium</w:t>
    </w:r>
    <w:r>
      <w:t>™</w:t>
    </w:r>
    <w:r w:rsidRPr="0017424B">
      <w:tab/>
    </w:r>
    <w:r w:rsidRPr="0017424B">
      <w:tab/>
    </w:r>
    <w:r w:rsidRPr="00A25189">
      <w:rPr>
        <w:color w:val="000000" w:themeColor="text1"/>
      </w:rPr>
      <w:t xml:space="preserve">Compact HPLC Instrument </w:t>
    </w:r>
    <w:r>
      <w:t xml:space="preserve">- </w:t>
    </w:r>
    <w:r w:rsidRPr="0017424B">
      <w:t>RFI</w:t>
    </w:r>
  </w:p>
  <w:p w14:paraId="58E5E995" w14:textId="772D6176" w:rsidR="00FF7683" w:rsidRPr="0017424B" w:rsidRDefault="00E42529"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FF7683">
          <w:t xml:space="preserve">Page </w:t>
        </w:r>
        <w:r w:rsidR="00FF7683" w:rsidRPr="006C64D0">
          <w:rPr>
            <w:bCs/>
          </w:rPr>
          <w:fldChar w:fldCharType="begin"/>
        </w:r>
        <w:r w:rsidR="00FF7683" w:rsidRPr="006C64D0">
          <w:rPr>
            <w:bCs/>
          </w:rPr>
          <w:instrText xml:space="preserve"> PAGE </w:instrText>
        </w:r>
        <w:r w:rsidR="00FF7683" w:rsidRPr="006C64D0">
          <w:rPr>
            <w:bCs/>
          </w:rPr>
          <w:fldChar w:fldCharType="separate"/>
        </w:r>
        <w:r>
          <w:rPr>
            <w:bCs/>
            <w:noProof/>
          </w:rPr>
          <w:t>5</w:t>
        </w:r>
        <w:r w:rsidR="00FF7683" w:rsidRPr="006C64D0">
          <w:rPr>
            <w:bCs/>
          </w:rPr>
          <w:fldChar w:fldCharType="end"/>
        </w:r>
        <w:r w:rsidR="00FF7683">
          <w:t xml:space="preserve"> of </w:t>
        </w:r>
        <w:r w:rsidR="00FF7683" w:rsidRPr="006C64D0">
          <w:rPr>
            <w:bCs/>
          </w:rPr>
          <w:fldChar w:fldCharType="begin"/>
        </w:r>
        <w:r w:rsidR="00FF7683" w:rsidRPr="006C64D0">
          <w:rPr>
            <w:bCs/>
          </w:rPr>
          <w:instrText xml:space="preserve"> NUMPAGES  </w:instrText>
        </w:r>
        <w:r w:rsidR="00FF7683" w:rsidRPr="006C64D0">
          <w:rPr>
            <w:bCs/>
          </w:rPr>
          <w:fldChar w:fldCharType="separate"/>
        </w:r>
        <w:r>
          <w:rPr>
            <w:bCs/>
            <w:noProof/>
          </w:rPr>
          <w:t>15</w:t>
        </w:r>
        <w:r w:rsidR="00FF7683" w:rsidRPr="006C64D0">
          <w:rPr>
            <w:bCs/>
          </w:rPr>
          <w:fldChar w:fldCharType="end"/>
        </w:r>
      </w:sdtContent>
    </w:sdt>
  </w:p>
  <w:p w14:paraId="073ED61E" w14:textId="77777777" w:rsidR="00FF7683" w:rsidRPr="0017424B" w:rsidRDefault="00FF7683"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5" w15:restartNumberingAfterBreak="0">
    <w:nsid w:val="3171052C"/>
    <w:multiLevelType w:val="hybridMultilevel"/>
    <w:tmpl w:val="1EC6F528"/>
    <w:name w:val="zzmpETCTemplat||ETC Templates|3|3|1|1|0|32||1|0|32||1|0|33||1|0|35||1|0|32||1|0|34||1|0|34||1|0|32||1|0|34||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
  </w:num>
  <w:num w:numId="6">
    <w:abstractNumId w:val="7"/>
  </w:num>
  <w:num w:numId="7">
    <w:abstractNumId w:val="6"/>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Pre-Read -- ETC Compact HPLC Instrument Draft RFI_AFM_JMV.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207AC"/>
    <w:rsid w:val="00020A26"/>
    <w:rsid w:val="00021088"/>
    <w:rsid w:val="000258DA"/>
    <w:rsid w:val="00030649"/>
    <w:rsid w:val="00034A4B"/>
    <w:rsid w:val="00034B26"/>
    <w:rsid w:val="0005587D"/>
    <w:rsid w:val="00060D4C"/>
    <w:rsid w:val="000712FB"/>
    <w:rsid w:val="000747C6"/>
    <w:rsid w:val="000A3271"/>
    <w:rsid w:val="000A4BED"/>
    <w:rsid w:val="000C4384"/>
    <w:rsid w:val="000C4D5F"/>
    <w:rsid w:val="000F35AB"/>
    <w:rsid w:val="001073D5"/>
    <w:rsid w:val="00107F9C"/>
    <w:rsid w:val="001102F1"/>
    <w:rsid w:val="00113507"/>
    <w:rsid w:val="00117842"/>
    <w:rsid w:val="00122289"/>
    <w:rsid w:val="001579C3"/>
    <w:rsid w:val="001652A5"/>
    <w:rsid w:val="00167982"/>
    <w:rsid w:val="0017424B"/>
    <w:rsid w:val="0018202C"/>
    <w:rsid w:val="0018268D"/>
    <w:rsid w:val="00192127"/>
    <w:rsid w:val="0019669C"/>
    <w:rsid w:val="001A0A3D"/>
    <w:rsid w:val="001A2959"/>
    <w:rsid w:val="001A665F"/>
    <w:rsid w:val="001B7963"/>
    <w:rsid w:val="001C57D4"/>
    <w:rsid w:val="001D3FE8"/>
    <w:rsid w:val="001E013E"/>
    <w:rsid w:val="001E36D9"/>
    <w:rsid w:val="00220B57"/>
    <w:rsid w:val="00245326"/>
    <w:rsid w:val="00256463"/>
    <w:rsid w:val="002618B6"/>
    <w:rsid w:val="002747BB"/>
    <w:rsid w:val="0028520D"/>
    <w:rsid w:val="00286DC9"/>
    <w:rsid w:val="00295455"/>
    <w:rsid w:val="002966E7"/>
    <w:rsid w:val="002B68B5"/>
    <w:rsid w:val="002C2E6E"/>
    <w:rsid w:val="002E185B"/>
    <w:rsid w:val="002F585C"/>
    <w:rsid w:val="00304DA7"/>
    <w:rsid w:val="0030651A"/>
    <w:rsid w:val="00313FF7"/>
    <w:rsid w:val="00324355"/>
    <w:rsid w:val="003411C2"/>
    <w:rsid w:val="0035165F"/>
    <w:rsid w:val="00356971"/>
    <w:rsid w:val="003724C3"/>
    <w:rsid w:val="003729CB"/>
    <w:rsid w:val="003866F4"/>
    <w:rsid w:val="003A4041"/>
    <w:rsid w:val="003B2215"/>
    <w:rsid w:val="003B3BD9"/>
    <w:rsid w:val="003B42D8"/>
    <w:rsid w:val="003B564E"/>
    <w:rsid w:val="003B6D27"/>
    <w:rsid w:val="003D0260"/>
    <w:rsid w:val="003F73F1"/>
    <w:rsid w:val="004070D7"/>
    <w:rsid w:val="00411238"/>
    <w:rsid w:val="0041230A"/>
    <w:rsid w:val="0042412B"/>
    <w:rsid w:val="00426B16"/>
    <w:rsid w:val="00431E9B"/>
    <w:rsid w:val="00446AE5"/>
    <w:rsid w:val="004553A5"/>
    <w:rsid w:val="004554C2"/>
    <w:rsid w:val="004C11B8"/>
    <w:rsid w:val="004C14EF"/>
    <w:rsid w:val="004C20B1"/>
    <w:rsid w:val="004E0D46"/>
    <w:rsid w:val="004E4F37"/>
    <w:rsid w:val="004E63DA"/>
    <w:rsid w:val="00502124"/>
    <w:rsid w:val="00516E52"/>
    <w:rsid w:val="00530F7B"/>
    <w:rsid w:val="00534AEF"/>
    <w:rsid w:val="005442E0"/>
    <w:rsid w:val="00545C63"/>
    <w:rsid w:val="00570E73"/>
    <w:rsid w:val="00572065"/>
    <w:rsid w:val="00583715"/>
    <w:rsid w:val="00590D96"/>
    <w:rsid w:val="005B2898"/>
    <w:rsid w:val="005B399A"/>
    <w:rsid w:val="005B3F18"/>
    <w:rsid w:val="005C3D3D"/>
    <w:rsid w:val="005D6A7B"/>
    <w:rsid w:val="005E56D8"/>
    <w:rsid w:val="005E59E0"/>
    <w:rsid w:val="005F6ED1"/>
    <w:rsid w:val="00606AC5"/>
    <w:rsid w:val="0061255B"/>
    <w:rsid w:val="00612F49"/>
    <w:rsid w:val="00653E75"/>
    <w:rsid w:val="00666719"/>
    <w:rsid w:val="006753FC"/>
    <w:rsid w:val="00683D25"/>
    <w:rsid w:val="00690748"/>
    <w:rsid w:val="006B3E7A"/>
    <w:rsid w:val="006B717F"/>
    <w:rsid w:val="006C64D0"/>
    <w:rsid w:val="006E4DC6"/>
    <w:rsid w:val="00710596"/>
    <w:rsid w:val="00713BB9"/>
    <w:rsid w:val="007245B8"/>
    <w:rsid w:val="007474D0"/>
    <w:rsid w:val="007576AB"/>
    <w:rsid w:val="007643BF"/>
    <w:rsid w:val="0076447C"/>
    <w:rsid w:val="00780876"/>
    <w:rsid w:val="0078525E"/>
    <w:rsid w:val="0079761E"/>
    <w:rsid w:val="007B3E0A"/>
    <w:rsid w:val="007C1F92"/>
    <w:rsid w:val="007C21BC"/>
    <w:rsid w:val="007C3713"/>
    <w:rsid w:val="007F168D"/>
    <w:rsid w:val="007F54BE"/>
    <w:rsid w:val="00800F24"/>
    <w:rsid w:val="008120EF"/>
    <w:rsid w:val="00815579"/>
    <w:rsid w:val="00835AC0"/>
    <w:rsid w:val="008408EE"/>
    <w:rsid w:val="008444A3"/>
    <w:rsid w:val="00863A8B"/>
    <w:rsid w:val="00870DA3"/>
    <w:rsid w:val="008748D8"/>
    <w:rsid w:val="00876CDD"/>
    <w:rsid w:val="0088317A"/>
    <w:rsid w:val="008A5A5E"/>
    <w:rsid w:val="008C522C"/>
    <w:rsid w:val="008C5A21"/>
    <w:rsid w:val="008F6B76"/>
    <w:rsid w:val="00911C40"/>
    <w:rsid w:val="009313EF"/>
    <w:rsid w:val="00951FA4"/>
    <w:rsid w:val="00954D8B"/>
    <w:rsid w:val="00962B1F"/>
    <w:rsid w:val="00986B27"/>
    <w:rsid w:val="00993E61"/>
    <w:rsid w:val="009A54D6"/>
    <w:rsid w:val="009B0D8D"/>
    <w:rsid w:val="009C4E40"/>
    <w:rsid w:val="009D22A1"/>
    <w:rsid w:val="009D322E"/>
    <w:rsid w:val="009D35E7"/>
    <w:rsid w:val="009D5A82"/>
    <w:rsid w:val="00A04587"/>
    <w:rsid w:val="00A25189"/>
    <w:rsid w:val="00A45316"/>
    <w:rsid w:val="00A507BB"/>
    <w:rsid w:val="00A62917"/>
    <w:rsid w:val="00A63902"/>
    <w:rsid w:val="00A87BE9"/>
    <w:rsid w:val="00AA3145"/>
    <w:rsid w:val="00AB0A01"/>
    <w:rsid w:val="00AB0E7E"/>
    <w:rsid w:val="00AF1DDD"/>
    <w:rsid w:val="00B10699"/>
    <w:rsid w:val="00B20C0B"/>
    <w:rsid w:val="00B329FB"/>
    <w:rsid w:val="00B53F9E"/>
    <w:rsid w:val="00B565BC"/>
    <w:rsid w:val="00B738F5"/>
    <w:rsid w:val="00BB38B5"/>
    <w:rsid w:val="00BD7888"/>
    <w:rsid w:val="00C03EB8"/>
    <w:rsid w:val="00C20EAA"/>
    <w:rsid w:val="00C248EA"/>
    <w:rsid w:val="00C34E39"/>
    <w:rsid w:val="00C35FF3"/>
    <w:rsid w:val="00C43D5E"/>
    <w:rsid w:val="00C50110"/>
    <w:rsid w:val="00C569E7"/>
    <w:rsid w:val="00C604DC"/>
    <w:rsid w:val="00C72690"/>
    <w:rsid w:val="00C93304"/>
    <w:rsid w:val="00C963C7"/>
    <w:rsid w:val="00CA5792"/>
    <w:rsid w:val="00CA6D3E"/>
    <w:rsid w:val="00CA7255"/>
    <w:rsid w:val="00CA78B9"/>
    <w:rsid w:val="00CC3014"/>
    <w:rsid w:val="00CC54AC"/>
    <w:rsid w:val="00CE4115"/>
    <w:rsid w:val="00CF2227"/>
    <w:rsid w:val="00CF57A8"/>
    <w:rsid w:val="00D043D5"/>
    <w:rsid w:val="00D15344"/>
    <w:rsid w:val="00D15F33"/>
    <w:rsid w:val="00D36DE7"/>
    <w:rsid w:val="00D43BC5"/>
    <w:rsid w:val="00D43E99"/>
    <w:rsid w:val="00D62B24"/>
    <w:rsid w:val="00D66FE4"/>
    <w:rsid w:val="00D81887"/>
    <w:rsid w:val="00D84A3B"/>
    <w:rsid w:val="00D96561"/>
    <w:rsid w:val="00DA08DA"/>
    <w:rsid w:val="00DA2F73"/>
    <w:rsid w:val="00DA610B"/>
    <w:rsid w:val="00DB0C76"/>
    <w:rsid w:val="00DB35B9"/>
    <w:rsid w:val="00DB4171"/>
    <w:rsid w:val="00DB6FED"/>
    <w:rsid w:val="00DC3C16"/>
    <w:rsid w:val="00DE5507"/>
    <w:rsid w:val="00DF72C4"/>
    <w:rsid w:val="00E04CF0"/>
    <w:rsid w:val="00E05D95"/>
    <w:rsid w:val="00E06937"/>
    <w:rsid w:val="00E14D75"/>
    <w:rsid w:val="00E21228"/>
    <w:rsid w:val="00E236C8"/>
    <w:rsid w:val="00E30133"/>
    <w:rsid w:val="00E3438F"/>
    <w:rsid w:val="00E35722"/>
    <w:rsid w:val="00E42529"/>
    <w:rsid w:val="00E55AF2"/>
    <w:rsid w:val="00E7492F"/>
    <w:rsid w:val="00E831D9"/>
    <w:rsid w:val="00E8659C"/>
    <w:rsid w:val="00E937DD"/>
    <w:rsid w:val="00E9515B"/>
    <w:rsid w:val="00EA4184"/>
    <w:rsid w:val="00EA4498"/>
    <w:rsid w:val="00ED4902"/>
    <w:rsid w:val="00EF63A8"/>
    <w:rsid w:val="00EF6AA7"/>
    <w:rsid w:val="00F142D1"/>
    <w:rsid w:val="00F3211C"/>
    <w:rsid w:val="00F401F8"/>
    <w:rsid w:val="00F43172"/>
    <w:rsid w:val="00F5547C"/>
    <w:rsid w:val="00FC061E"/>
    <w:rsid w:val="00FD0713"/>
    <w:rsid w:val="00FD7C48"/>
    <w:rsid w:val="00FE73E3"/>
    <w:rsid w:val="00FF1530"/>
    <w:rsid w:val="00FF768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CB4C-3751-428B-9E8E-87CD7CC9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15</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Myers, Alexis F.</cp:lastModifiedBy>
  <cp:revision>4</cp:revision>
  <dcterms:created xsi:type="dcterms:W3CDTF">2019-11-04T17:10:00Z</dcterms:created>
  <dcterms:modified xsi:type="dcterms:W3CDTF">2019-11-04T21:20:00Z</dcterms:modified>
</cp:coreProperties>
</file>